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pPr>
      <w:r>
        <w:rPr>
          <w:rFonts w:ascii="Times New Roman;serif" w:hAnsi="Times New Roman;serif"/>
          <w:b/>
          <w:color w:val="000000"/>
          <w:sz w:val="24"/>
        </w:rPr>
        <w:t>Date of report (date of earliest event reported): </w:t>
      </w:r>
      <w:r>
        <w:rPr>
          <w:rFonts w:ascii="Times New Roman;serif" w:hAnsi="Times New Roman;serif"/>
          <w:b w:val="false"/>
          <w:color w:val="000000"/>
          <w:sz w:val="22"/>
        </w:rPr>
        <w:t>August 4, 2026</w:t>
      </w:r>
      <w:r>
        <w:rPr>
          <w:color w:val="000000"/>
        </w:rPr>
        <w:t xml:space="preserve"> </w:t>
      </w:r>
    </w:p>
    <w:p>
      <w:pPr>
        <w:pStyle w:val="TextBody"/>
        <w:bidi w:val="0"/>
        <w:spacing w:lineRule="auto" w:line="288" w:before="240" w:after="240"/>
        <w:jc w:val="center"/>
        <w:rPr>
          <w:rFonts w:ascii="Times New Roman;serif" w:hAnsi="Times New Roman;serif"/>
          <w:b/>
          <w:color w:val="000000"/>
          <w:sz w:val="48"/>
        </w:rPr>
      </w:pPr>
      <w:r>
        <w:rPr>
          <w:rFonts w:ascii="Times New Roman;serif" w:hAnsi="Times New Roman;serif"/>
          <w:b/>
          <w:color w:val="000000"/>
          <w:sz w:val="48"/>
        </w:rPr>
        <w:t xml:space="preserve">LGI HOMES, INC.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602"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46-3088013</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color w:val="000000"/>
        </w:rPr>
      </w:pPr>
      <w:r>
        <w:rPr>
          <w:color w:val="000000"/>
        </w:rPr>
        <w:t> </w:t>
      </w:r>
    </w:p>
    <w:tbl>
      <w:tblPr>
        <w:tblW w:w="6655" w:type="dxa"/>
        <w:jc w:val="center"/>
        <w:tblInd w:w="0" w:type="dxa"/>
        <w:tblLayout w:type="fixed"/>
        <w:tblCellMar>
          <w:top w:w="28" w:type="dxa"/>
          <w:left w:w="28" w:type="dxa"/>
          <w:bottom w:w="28" w:type="dxa"/>
          <w:right w:w="28" w:type="dxa"/>
        </w:tblCellMar>
      </w:tblPr>
      <w:tblGrid>
        <w:gridCol w:w="859"/>
        <w:gridCol w:w="754"/>
        <w:gridCol w:w="757"/>
        <w:gridCol w:w="309"/>
        <w:gridCol w:w="309"/>
        <w:gridCol w:w="311"/>
        <w:gridCol w:w="494"/>
        <w:gridCol w:w="494"/>
        <w:gridCol w:w="496"/>
        <w:gridCol w:w="205"/>
        <w:gridCol w:w="205"/>
        <w:gridCol w:w="206"/>
        <w:gridCol w:w="109"/>
        <w:gridCol w:w="109"/>
        <w:gridCol w:w="109"/>
        <w:gridCol w:w="272"/>
        <w:gridCol w:w="272"/>
        <w:gridCol w:w="385"/>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1450 Lake Robbins Drive,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430,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The Woodlands,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77380</w:t>
            </w:r>
          </w:p>
        </w:tc>
      </w:tr>
      <w:tr>
        <w:trPr/>
        <w:tc>
          <w:tcPr>
            <w:tcW w:w="53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(281) 362-8998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2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Instructions A.2. below):</w:t>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tbl>
      <w:tblPr>
        <w:tblW w:w="9767" w:type="dxa"/>
        <w:jc w:val="left"/>
        <w:tblInd w:w="0" w:type="dxa"/>
        <w:tblLayout w:type="fixed"/>
        <w:tblCellMar>
          <w:top w:w="28" w:type="dxa"/>
          <w:left w:w="28" w:type="dxa"/>
          <w:bottom w:w="28" w:type="dxa"/>
          <w:right w:w="28" w:type="dxa"/>
        </w:tblCellMar>
      </w:tblPr>
      <w:tblGrid>
        <w:gridCol w:w="1154"/>
        <w:gridCol w:w="1013"/>
        <w:gridCol w:w="1013"/>
        <w:gridCol w:w="308"/>
        <w:gridCol w:w="308"/>
        <w:gridCol w:w="308"/>
        <w:gridCol w:w="475"/>
        <w:gridCol w:w="475"/>
        <w:gridCol w:w="475"/>
        <w:gridCol w:w="308"/>
        <w:gridCol w:w="308"/>
        <w:gridCol w:w="308"/>
        <w:gridCol w:w="970"/>
        <w:gridCol w:w="970"/>
        <w:gridCol w:w="1374"/>
      </w:tblGrid>
      <w:tr>
        <w:trPr/>
        <w:tc>
          <w:tcPr>
            <w:tcW w:w="115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976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LGIH</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Nasdaq Global Select Market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Nasdaq Texas, LLC</w:t>
            </w:r>
          </w:p>
        </w:tc>
      </w:tr>
    </w:tbl>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center"/>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On August 4, 2026, LGI Homes, Inc. (the “Company”) issued a press release announcing its financial results for the three months ended June 30, 2026. A copy of the press release is furnished as </w:t>
      </w:r>
      <w:hyperlink w:anchor="a06302026ex991earningsrele.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to this Current Report on Form 8-K.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 of the information furnished in this Item 2.02 and the accompanying exhibit will be deemed “filed” for purposes of Section 18 of the Securities Exchange Act of 1934, as amended, or otherwise subject to the liabilities of that section, nor will it be deemed incorporated by reference into any filing by the Company under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70" w:type="dxa"/>
        <w:jc w:val="center"/>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information set forth in </w:t>
      </w:r>
      <w:hyperlink w:anchor="i85a1c039d11f4f55b74521170e2b6398_7">
        <w:r>
          <w:rPr>
            <w:rStyle w:val="InternetLink"/>
            <w:rFonts w:ascii="Times New Roman;serif" w:hAnsi="Times New Roman;serif"/>
            <w:b w:val="false"/>
            <w:color w:val="0000FF"/>
            <w:sz w:val="20"/>
            <w:u w:val="single"/>
          </w:rPr>
          <w:t>Item 2.02</w:t>
        </w:r>
      </w:hyperlink>
      <w:r>
        <w:rPr>
          <w:color w:val="000000"/>
        </w:rPr>
        <w:t xml:space="preserve"> </w:t>
      </w:r>
      <w:r>
        <w:rPr>
          <w:rFonts w:ascii="Times New Roman;serif" w:hAnsi="Times New Roman;serif"/>
          <w:b w:val="false"/>
          <w:color w:val="000000"/>
          <w:sz w:val="20"/>
        </w:rPr>
        <w:t xml:space="preserve">above and in </w:t>
      </w:r>
      <w:hyperlink w:anchor="a06302026ex991earningsrele.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to this Current Report on Form 8-K is incorporated herein by reference.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 of the information furnished in this Item 7.01 and the accompanying exhibit will be deemed “filed” for purposes of Section 18 of the Securities Exchange Act of 1934, as amended, nor will it be deemed incorporated by reference into any registration statement filed by the Company under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color w:val="000000"/>
        </w:rPr>
      </w:pPr>
      <w:r>
        <w:rPr>
          <w:color w:val="000000"/>
        </w:rPr>
        <w:t xml:space="preserve">             </w:t>
      </w:r>
    </w:p>
    <w:tbl>
      <w:tblPr>
        <w:tblW w:w="9570" w:type="dxa"/>
        <w:jc w:val="left"/>
        <w:tblInd w:w="0" w:type="dxa"/>
        <w:tblLayout w:type="fixed"/>
        <w:tblCellMar>
          <w:top w:w="28" w:type="dxa"/>
          <w:left w:w="28" w:type="dxa"/>
          <w:bottom w:w="28" w:type="dxa"/>
          <w:right w:w="28" w:type="dxa"/>
        </w:tblCellMar>
      </w:tblPr>
      <w:tblGrid>
        <w:gridCol w:w="174"/>
        <w:gridCol w:w="153"/>
        <w:gridCol w:w="154"/>
        <w:gridCol w:w="2663"/>
        <w:gridCol w:w="2663"/>
        <w:gridCol w:w="376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991earningsrele.htm">
              <w:r>
                <w:rPr>
                  <w:rStyle w:val="InternetLink"/>
                  <w:rFonts w:ascii="Times New Roman;serif" w:hAnsi="Times New Roman;serif"/>
                  <w:b w:val="false"/>
                  <w:color w:val="0000FF"/>
                  <w:sz w:val="20"/>
                  <w:u w:val="single"/>
                </w:rPr>
                <w:t>Press Release of LGI Homes, Inc. issued on August 4,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ind w:left="0" w:right="0" w:firstLine="495"/>
        <w:jc w:val="both"/>
        <w:rPr/>
      </w:pPr>
      <w:r>
        <w:rPr/>
      </w:r>
    </w:p>
    <w:p>
      <w:pPr>
        <w:pStyle w:val="TextBody"/>
        <w:bidi w:val="0"/>
        <w:spacing w:lineRule="auto" w:line="288" w:before="0" w:after="0"/>
        <w:jc w:val="left"/>
        <w:rPr>
          <w:color w:val="000000"/>
        </w:rPr>
      </w:pPr>
      <w:r>
        <w:rPr>
          <w:color w:val="000000"/>
        </w:rPr>
        <w:t> </w:t>
      </w:r>
    </w:p>
    <w:tbl>
      <w:tblPr>
        <w:tblW w:w="7019" w:type="dxa"/>
        <w:jc w:val="left"/>
        <w:tblInd w:w="0" w:type="dxa"/>
        <w:tblLayout w:type="fixed"/>
        <w:tblCellMar>
          <w:top w:w="28" w:type="dxa"/>
          <w:left w:w="28" w:type="dxa"/>
          <w:bottom w:w="28" w:type="dxa"/>
          <w:right w:w="28" w:type="dxa"/>
        </w:tblCellMar>
      </w:tblPr>
      <w:tblGrid>
        <w:gridCol w:w="705"/>
        <w:gridCol w:w="619"/>
        <w:gridCol w:w="625"/>
        <w:gridCol w:w="255"/>
        <w:gridCol w:w="255"/>
        <w:gridCol w:w="255"/>
        <w:gridCol w:w="1246"/>
        <w:gridCol w:w="1246"/>
        <w:gridCol w:w="181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50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Lipar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Lipar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20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both"/>
        <w:rPr/>
      </w:pPr>
      <w:r>
        <w:rPr/>
        <w:drawing>
          <wp:inline distT="0" distB="0" distL="0" distR="0">
            <wp:extent cx="1095375" cy="971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95375" cy="971550"/>
                    </a:xfrm>
                    <a:prstGeom prst="rect">
                      <a:avLst/>
                    </a:prstGeom>
                  </pic:spPr>
                </pic:pic>
              </a:graphicData>
            </a:graphic>
          </wp:inline>
        </w:drawing>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 xml:space="preserve">LGI Homes, Inc. Reports Strong Second Quarter 2026 Results and Increases Full-Year 2026 Average Sales Price and Homebuilding Gross Margin Guidance Ranges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THE WOODLANDS, Texas, August 4, 2026 (GLOBE NEWSWIRE) - LGI Homes, Inc. (NASDAQ: LGIH) today announced financial results for the second quarter and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We delivered strong results during the second quarter, exceeding expectations across key metrics while navigating a dynamic operating environment,” said Eric Lipar, Chairman and Chief Executive Officer of LGI Homes. </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2"/>
        </w:rPr>
        <w:t xml:space="preserve">During the quarter, we delivered 1,440 homes, an 8.8% increase year-over-year, generating total revenues of $516.0 million and homebuilding revenues of $501.5 million. </w:t>
      </w:r>
    </w:p>
    <w:p>
      <w:pPr>
        <w:pStyle w:val="TextBody"/>
        <w:bidi w:val="0"/>
        <w:spacing w:before="0" w:after="0"/>
        <w:jc w:val="both"/>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We ended the quarter with 151 active communities, achieving the low end of our full-year guidance just six months into the year, and representing an increase of 3.4% compared to the same time last year.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Homebuilding gross margin of 19.8% and adjusted homebuilding gross margin of 23.2% both exceeded the midpoint of our previously increased guidance range, reflecting our disciplined approach to pricing, incentives, and inventory management and the continued benefits of our self-development platform. </w:t>
      </w:r>
    </w:p>
    <w:p>
      <w:pPr>
        <w:pStyle w:val="TextBody"/>
        <w:bidi w:val="0"/>
        <w:spacing w:before="0" w:after="0"/>
        <w:jc w:val="left"/>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2"/>
        </w:rPr>
        <w:t>We made significant progress strengthening our balance sheet during the quarter, reducing debt by $128.6 million and ending the period with a debt-to-capital ratio of 42.6%, a 220 basis point improvement year-over-year.</w:t>
      </w:r>
    </w:p>
    <w:p>
      <w:pPr>
        <w:pStyle w:val="TextBody"/>
        <w:bidi w:val="0"/>
        <w:spacing w:before="0" w:after="0"/>
        <w:jc w:val="both"/>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On the strength of our outperformance in the first half of the year, we are raising our full-year gross margin guidance for the second consecutive quarter. We now expect our homebuilding gross margin will range between 19.0% and 21.0% and adjusted homebuilding gross margin between 22.5% and 24.5%. We are also raising the guidance for our full-year average sales price per home closed to between $360,000 and $370,000.”</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Mr. Lipar concluded, “With strong visibility into the second half of the year, we are confident in achieving all of our objectives for 2026 and remain focused on balancing sales pace, profitability, and inventory management as we create long-term value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i/>
          <w:color w:val="000000"/>
          <w:sz w:val="22"/>
        </w:rPr>
      </w:pPr>
      <w:r>
        <w:rPr>
          <w:rFonts w:ascii="Times New Roman;serif" w:hAnsi="Times New Roman;serif"/>
          <w:b/>
          <w:i/>
          <w:color w:val="000000"/>
          <w:sz w:val="22"/>
        </w:rPr>
        <w:t xml:space="preserve">Second Quarter 2026 Highlights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Homebuilding revenues of $501.5 million, an increase of 3.7%</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Total home closings of 1,440, including 75 currently and previously leased homes, an increase of 8.8%</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Home closings of 1,365, an increase of 3.2%</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 xml:space="preserve">Average sales price per home closed of $367,407, an increase of 0.5%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Homebuilding gross margin as a percentage of homebuilding revenues of 19.8%</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Adjusted homebuilding gross margin* as a percentage of homebuilding revenues of 23.2%</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Net income before income taxes of $36.6 million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Net income of $27.0 million or $1.16 basic EPS and $1.16 diluted EPS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80"/>
        <w:jc w:val="both"/>
        <w:rPr>
          <w:rFonts w:ascii="Times New Roman;serif" w:hAnsi="Times New Roman;serif"/>
          <w:b/>
          <w:i/>
          <w:color w:val="000000"/>
          <w:sz w:val="22"/>
        </w:rPr>
      </w:pPr>
      <w:r>
        <w:rPr>
          <w:rFonts w:ascii="Times New Roman;serif" w:hAnsi="Times New Roman;serif"/>
          <w:b/>
          <w:i/>
          <w:color w:val="000000"/>
          <w:sz w:val="22"/>
        </w:rPr>
        <w:t xml:space="preserve">Six Months Ended June 30, 2026 Highlights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Homebuilding revenues of $821.2 million, a decrease of 1.6%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Total home closings of 2,356, including 110 currently and previously leased homes, an increase of 1.6%</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Home closings of 2,246, a decrease of 3.1%</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Average sales price per home closed of $365,649, an increase of 1.6%</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Homebuilding gross margin as a percentage of homebuilding revenues of 19.4%</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Homebuilding gross margin excluding inventory impairment* as a percentage of homebuilding revenues of 20.0%</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Adjusted homebuilding gross margin* as a percentage of homebuilding revenues of 23.3%</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Net income before income taxes of $40.9 million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Net income of $29.1 million or $1.26 basic EPS and $1.25 diluted EPS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Adjusted net income* of $32.6 million, or $1.41 adjusted basic EPS* and $1.40 adjusted diluted EPS*</w:t>
      </w:r>
    </w:p>
    <w:p>
      <w:pPr>
        <w:pStyle w:val="TextBody"/>
        <w:bidi w:val="0"/>
        <w:spacing w:lineRule="auto" w:line="288" w:before="180" w:after="200"/>
        <w:jc w:val="both"/>
        <w:rPr/>
      </w:pPr>
      <w:r>
        <w:rPr>
          <w:rFonts w:ascii="Times New Roman;serif" w:hAnsi="Times New Roman;serif"/>
          <w:b w:val="false"/>
          <w:i/>
          <w:color w:val="000000"/>
          <w:sz w:val="22"/>
        </w:rPr>
        <w:t>*Please see “</w:t>
      </w:r>
      <w:hyperlink w:anchor="i4ceaa564b9d343dc801944738366b6b4_46">
        <w:r>
          <w:rPr>
            <w:rStyle w:val="InternetLink"/>
            <w:rFonts w:ascii="Times New Roman;serif" w:hAnsi="Times New Roman;serif"/>
            <w:b w:val="false"/>
            <w:i/>
            <w:color w:val="0000FF"/>
            <w:sz w:val="22"/>
            <w:u w:val="single"/>
          </w:rPr>
          <w:t>Non-GAAP Measures</w:t>
        </w:r>
      </w:hyperlink>
      <w:r>
        <w:rPr>
          <w:color w:val="000000"/>
        </w:rPr>
        <w:t xml:space="preserve">” </w:t>
      </w:r>
      <w:r>
        <w:rPr>
          <w:rFonts w:ascii="Times New Roman;serif" w:hAnsi="Times New Roman;serif"/>
          <w:b w:val="false"/>
          <w:i/>
          <w:color w:val="000000"/>
          <w:sz w:val="22"/>
        </w:rPr>
        <w:t>for a reconciliation of Homebuilding Gross Margin Excluding Inventory Impairment (a non-GAAP measure) and Adjusted Homebuilding Gross Margin (a non-GAAP measure) to Homebuilding Gross Margin, and Adjusted Net Income (a non-GAAP measure) to Net Income, the most directly comparable GAAP measures, and for calculations of adjusted basic EPS and adjusted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i/>
          <w:color w:val="000000"/>
          <w:sz w:val="22"/>
        </w:rPr>
      </w:pPr>
      <w:r>
        <w:rPr>
          <w:rFonts w:ascii="Times New Roman;serif" w:hAnsi="Times New Roman;serif"/>
          <w:b/>
          <w:i/>
          <w:color w:val="000000"/>
          <w:sz w:val="22"/>
        </w:rPr>
        <w:t>Balance Sheet Highlights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Total liquidity of $468.0 million at June 30, 2026, including cash and cash equivalents of $61.1 million and $406.9 million of availability under the Company’s revolving credit facility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Net debt to capital ratio* of 41.6% at June 30, 2026</w:t>
      </w:r>
    </w:p>
    <w:p>
      <w:pPr>
        <w:pStyle w:val="TextBody"/>
        <w:bidi w:val="0"/>
        <w:spacing w:lineRule="auto" w:line="288" w:before="180" w:after="200"/>
        <w:jc w:val="both"/>
        <w:rPr/>
      </w:pPr>
      <w:r>
        <w:rPr>
          <w:rFonts w:ascii="Times New Roman;serif" w:hAnsi="Times New Roman;serif"/>
          <w:b w:val="false"/>
          <w:i/>
          <w:color w:val="000000"/>
          <w:sz w:val="22"/>
        </w:rPr>
        <w:t>*Please see “</w:t>
      </w:r>
      <w:hyperlink w:anchor="i4ceaa564b9d343dc801944738366b6b4_46">
        <w:r>
          <w:rPr>
            <w:rStyle w:val="InternetLink"/>
            <w:rFonts w:ascii="Times New Roman;serif" w:hAnsi="Times New Roman;serif"/>
            <w:b w:val="false"/>
            <w:i/>
            <w:color w:val="0000FF"/>
            <w:sz w:val="22"/>
            <w:u w:val="single"/>
          </w:rPr>
          <w:t>Non-GAAP Measures</w:t>
        </w:r>
      </w:hyperlink>
      <w:r>
        <w:rPr>
          <w:color w:val="000000"/>
        </w:rPr>
        <w:t xml:space="preserve">” </w:t>
      </w:r>
      <w:r>
        <w:rPr>
          <w:rFonts w:ascii="Times New Roman;serif" w:hAnsi="Times New Roman;serif"/>
          <w:b w:val="false"/>
          <w:i/>
          <w:color w:val="000000"/>
          <w:sz w:val="22"/>
        </w:rPr>
        <w:t>for a reconciliation of net debt to capital ratio (a non-GAAP measure) to debt to capital ratio, the most directly comparable GAAP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Times New Roman;serif" w:hAnsi="Times New Roman;serif"/>
          <w:b/>
          <w:color w:val="000000"/>
          <w:sz w:val="22"/>
        </w:rPr>
      </w:pPr>
      <w:r>
        <w:rPr>
          <w:rFonts w:ascii="Times New Roman;serif" w:hAnsi="Times New Roman;serif"/>
          <w:b/>
          <w:color w:val="000000"/>
          <w:sz w:val="22"/>
        </w:rPr>
        <w:t>Full Year 2026 Outlook</w:t>
      </w:r>
    </w:p>
    <w:p>
      <w:pPr>
        <w:pStyle w:val="TextBody"/>
        <w:bidi w:val="0"/>
        <w:spacing w:lineRule="auto" w:line="288" w:before="100" w:after="160"/>
        <w:jc w:val="both"/>
        <w:rPr>
          <w:rFonts w:ascii="Times New Roman;serif" w:hAnsi="Times New Roman;serif"/>
          <w:b w:val="false"/>
          <w:color w:val="000000"/>
          <w:sz w:val="22"/>
        </w:rPr>
      </w:pPr>
      <w:r>
        <w:rPr>
          <w:rFonts w:ascii="Times New Roman;serif" w:hAnsi="Times New Roman;serif"/>
          <w:b w:val="false"/>
          <w:color w:val="000000"/>
          <w:sz w:val="22"/>
        </w:rPr>
        <w:t>Subject to the caveats in the Forward-Looking Statements section of this press release and the assumptions noted below, the Company is updating its average sales price per home closed, homebuilding gross margin, and adjusted homebuilding gross margin as a percentage of homebuilding revenues outlook for the full year 2026 and reiterating its other outlook items for the full year 2026. Currently, the Company expects for full year 2026:</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Home closings between 4,600 and 5,400</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Active selling communities at the end of 2026 between 150 and 160</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Average sales price per home closed between $360,000 and $370,000</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 xml:space="preserve">Homebuilding gross margin as a percentage of homebuilding revenues between 19.0% and 21.0%, adjusted for estimated capitalized interest and estimated purchase accounting of approximately 3.5%, which results in adjusted homebuilding gross margin (non-GAAP) as a percentage of homebuilding revenues between 22.5% and 24.5%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SG&amp;A as a percentage of total revenues between 15.0% and 16.0%</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 xml:space="preserve">Effective tax rate of approximately 26.5% </w:t>
      </w:r>
    </w:p>
    <w:p>
      <w:pPr>
        <w:pStyle w:val="TextBody"/>
        <w:bidi w:val="0"/>
        <w:spacing w:lineRule="auto" w:line="288" w:before="100" w:after="160"/>
        <w:jc w:val="both"/>
        <w:rPr>
          <w:rFonts w:ascii="Times New Roman;serif" w:hAnsi="Times New Roman;serif"/>
          <w:b w:val="false"/>
          <w:color w:val="000000"/>
          <w:sz w:val="22"/>
        </w:rPr>
      </w:pPr>
      <w:r>
        <w:rPr>
          <w:rFonts w:ascii="Times New Roman;serif" w:hAnsi="Times New Roman;serif"/>
          <w:b w:val="false"/>
          <w:color w:val="000000"/>
          <w:sz w:val="22"/>
        </w:rPr>
        <w:t>This outlook assumes that general economic conditions, including input costs, materials, product and labor availability, interest rates and mortgage availability, in the remainder of 2026 are similar to those experienced to date in 2026 and that construction costs, availability of land and land development costs for the remainder of 2026 are consistent with the Company’s recent experience. In addition, this outlook assumes that governmental regulations relating to land development and home construction are similar to those currently in place and does not take into account any additional changes to U.S. trade policies, including the imposition of tariffs and duties on homebuilding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Earnings Conference Call</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will host a conference call via live webcast for investors and other interested parties beginning at 12:30 p.m. Eastern Time on Tuesday, August 4, 2026 (the “Earnings Call”).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Participants may access the live webcast by visiting the Investor Relations section of the Company’s website at https://investor.lgihomes.com.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 archive of the Earnings Call webcast will be available for replay on the Company’s website for one year from the date of the Earnings Call. </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About LGI Homes, Inc.</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Headquartered in The Woodlands, Texas, LGI Homes, Inc. is a pioneer in the homebuilding industry, successfully applying an innovative and systematic approach to the design, construction and sale of homes across 36 markets in 21 states. LGI Homes has closed over 80,000 homes since its founding in 2003 and has delivered profitable financial results every year. Nationally recognized for its quality construction and exceptional customer service, LGI Homes was named to Newsweek’s list of the World’s Most Trustworthy Companies. LGI Homes’ commitment to excellence extends to its employees, earning the Company numerous workplace awards at the local, state, and national level, including the Top Workplaces USA 2026 Award. For more information about LGI Homes and its unique operating model focused on making the dream of homeownership a reality for families across the nation, please visit the Company’s website at www.lgihomes.com.</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Any statements made in this press release or on the Earnings Call that are not statements of historical fact, including statements about the Company’s beliefs, outlook and expectations, are forward-looking statements within the meaning of the federal securities laws, and should be evaluated as such. Forward-looking statements include information concerning expected 2026 home closings, active selling communities, average sales price per home closed, homebuilding gross margin as a percentage of homebuilding revenues, adjusted homebuilding gross margin as a percentage of homebuilding revenues, SG&amp;A as a percentage of total revenues and effective tax rate, as well as market conditions and possible or assumed future results of operations, including descriptions of the Company’s business plan and strategies. These forward-looking statements can be identified by the use of forward-looking terminology, including the terms “anticipate,” “believe,” “continue,” “could,” “estimate,” “expect,” “forecast,” “goal,” “intend,” “may,” “objective,” “plan,” “potential,” “predict,” “projection,” “should,” “will” or, in each case, their negative, or other variations or comparable terminology. For more information concerning factors that could cause actual results to differ materially from those contained in the forward-looking statements please refer to the “Risk Factors” section in the Company’s Annual Report on Form 10-K for the fiscal year ended December 31, 2025, including the “Cautionary Statement about Forward-Looking Statements” subsection within the “Risk Factors” section, and subsequent filings by the Company with the U.S. Securities and Exchange Commission (the “SEC”), including the “Risk Factors” and “Cautionary Statement about Forward-Looking Statements” sections in the Company’s Quarterly Report on Form 10-Q for the quarters ended March 31, 2026 and June 30, 2026 (when it is filed with the SEC). The Company bases these forward-looking statements or outlook on its current expectations, plans and assumptions that it has made in light of its experience in the industry, as well as its perceptions of historical trends, current conditions, expected future developments and other factors it believes are appropriate under the circumstances and at such time. As you read and consider this press release or listen to the Earnings Call, you should understand that these statements are not guarantees of future performance or results. The forward-looking statements, including the Company’s 2026 outlook, are subject to and involve risks, uncertainties and assumptions and you should not place undue reliance on these forward-looking statements or outlook. Although the Company believes that these forward-looking statements and outlook are based on reasonable assumptions at the time they are made, you should be aware that many factors could affect the Company’s actual results to differ materially from those expressed in the forward-looking statements and outlook. The Company undertakes no obligation to update or revise any forward-looking statements, whether as a result of new information, future events or otherwise, except as required by law. If the Company does update one or more forward-looking statements, there should be no inference that it will make additional updates with respect to those or other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1"/>
        <w:gridCol w:w="2008"/>
        <w:gridCol w:w="2025"/>
        <w:gridCol w:w="109"/>
        <w:gridCol w:w="109"/>
        <w:gridCol w:w="109"/>
        <w:gridCol w:w="211"/>
        <w:gridCol w:w="976"/>
        <w:gridCol w:w="109"/>
        <w:gridCol w:w="109"/>
        <w:gridCol w:w="109"/>
        <w:gridCol w:w="109"/>
        <w:gridCol w:w="211"/>
        <w:gridCol w:w="976"/>
        <w:gridCol w:w="109"/>
        <w:gridCol w:w="155"/>
      </w:tblGrid>
      <w:tr>
        <w:trPr/>
        <w:tc>
          <w:tcPr>
            <w:tcW w:w="277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4"/>
            <w:tcBorders/>
          </w:tcPr>
          <w:p>
            <w:pPr>
              <w:pStyle w:val="TableContents"/>
              <w:bidi w:val="0"/>
              <w:spacing w:before="0" w:after="283"/>
              <w:jc w:val="left"/>
              <w:rPr>
                <w:sz w:val="4"/>
                <w:szCs w:val="4"/>
              </w:rPr>
            </w:pPr>
            <w:r>
              <w:rPr>
                <w:sz w:val="4"/>
                <w:szCs w:val="4"/>
              </w:rPr>
            </w:r>
          </w:p>
        </w:tc>
      </w:tr>
      <w:tr>
        <w:trPr/>
        <w:tc>
          <w:tcPr>
            <w:tcW w:w="6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costs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1,830,953 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250,000,000 shares authorized, 27,904,864 shares issued and 23,248,272 shares outstanding as of June 30, 2026 and 27,789,678 shares issued and 23,133,086 shares outstanding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4,656,592 shares as of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3,918,593 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6"/>
        <w:gridCol w:w="982"/>
        <w:gridCol w:w="988"/>
        <w:gridCol w:w="109"/>
        <w:gridCol w:w="109"/>
        <w:gridCol w:w="109"/>
        <w:gridCol w:w="240"/>
        <w:gridCol w:w="1006"/>
        <w:gridCol w:w="112"/>
        <w:gridCol w:w="112"/>
        <w:gridCol w:w="112"/>
        <w:gridCol w:w="112"/>
        <w:gridCol w:w="240"/>
        <w:gridCol w:w="1006"/>
        <w:gridCol w:w="112"/>
        <w:gridCol w:w="109"/>
        <w:gridCol w:w="109"/>
        <w:gridCol w:w="109"/>
        <w:gridCol w:w="240"/>
        <w:gridCol w:w="1006"/>
        <w:gridCol w:w="109"/>
        <w:gridCol w:w="109"/>
        <w:gridCol w:w="109"/>
        <w:gridCol w:w="109"/>
        <w:gridCol w:w="240"/>
        <w:gridCol w:w="1006"/>
        <w:gridCol w:w="109"/>
        <w:gridCol w:w="109"/>
        <w:gridCol w:w="109"/>
        <w:gridCol w:w="158"/>
      </w:tblGrid>
      <w:tr>
        <w:trPr/>
        <w:tc>
          <w:tcPr>
            <w:tcW w:w="111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3" w:type="dxa"/>
            <w:gridSpan w:val="12"/>
            <w:tcBorders/>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Homebuilding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501,511 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483,485 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Land and 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14,537 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516,048 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488,242 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848,924 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871,630 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Homebuilding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402,117 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372,877 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650,584 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Land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414,352 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378,602 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686,099 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683,313 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44,149 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41,599 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83,941 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28,571 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36,591 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42,040 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26,984 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31,533 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23,201,571 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23,221,565 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23,191,411 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23,308,534 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23,279,553 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23,265,062 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23,248,046 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23,364,957 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Homebuilding Revenues, Home Closings, Average Sales Price Per Home Closed (ASP), Average Community Count, Average Monthly Absorption Rate, and Ending Community Count by Reportable Segment</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(Revenues in thousands,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04"/>
        <w:gridCol w:w="355"/>
        <w:gridCol w:w="357"/>
        <w:gridCol w:w="109"/>
        <w:gridCol w:w="109"/>
        <w:gridCol w:w="109"/>
        <w:gridCol w:w="253"/>
        <w:gridCol w:w="993"/>
        <w:gridCol w:w="131"/>
        <w:gridCol w:w="109"/>
        <w:gridCol w:w="109"/>
        <w:gridCol w:w="109"/>
        <w:gridCol w:w="349"/>
        <w:gridCol w:w="287"/>
        <w:gridCol w:w="288"/>
        <w:gridCol w:w="109"/>
        <w:gridCol w:w="109"/>
        <w:gridCol w:w="109"/>
        <w:gridCol w:w="211"/>
        <w:gridCol w:w="826"/>
        <w:gridCol w:w="109"/>
        <w:gridCol w:w="109"/>
        <w:gridCol w:w="109"/>
        <w:gridCol w:w="109"/>
        <w:gridCol w:w="399"/>
        <w:gridCol w:w="399"/>
        <w:gridCol w:w="400"/>
        <w:gridCol w:w="109"/>
        <w:gridCol w:w="109"/>
        <w:gridCol w:w="109"/>
        <w:gridCol w:w="394"/>
        <w:gridCol w:w="394"/>
        <w:gridCol w:w="395"/>
        <w:gridCol w:w="109"/>
        <w:gridCol w:w="109"/>
        <w:gridCol w:w="109"/>
        <w:gridCol w:w="546"/>
        <w:gridCol w:w="438"/>
        <w:gridCol w:w="315"/>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r>
      <w:tr>
        <w:trPr/>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127,777 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501,511 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04"/>
        <w:gridCol w:w="355"/>
        <w:gridCol w:w="357"/>
        <w:gridCol w:w="109"/>
        <w:gridCol w:w="109"/>
        <w:gridCol w:w="109"/>
        <w:gridCol w:w="253"/>
        <w:gridCol w:w="993"/>
        <w:gridCol w:w="131"/>
        <w:gridCol w:w="109"/>
        <w:gridCol w:w="109"/>
        <w:gridCol w:w="109"/>
        <w:gridCol w:w="349"/>
        <w:gridCol w:w="287"/>
        <w:gridCol w:w="288"/>
        <w:gridCol w:w="109"/>
        <w:gridCol w:w="109"/>
        <w:gridCol w:w="109"/>
        <w:gridCol w:w="211"/>
        <w:gridCol w:w="826"/>
        <w:gridCol w:w="109"/>
        <w:gridCol w:w="109"/>
        <w:gridCol w:w="109"/>
        <w:gridCol w:w="109"/>
        <w:gridCol w:w="399"/>
        <w:gridCol w:w="399"/>
        <w:gridCol w:w="400"/>
        <w:gridCol w:w="109"/>
        <w:gridCol w:w="109"/>
        <w:gridCol w:w="109"/>
        <w:gridCol w:w="394"/>
        <w:gridCol w:w="394"/>
        <w:gridCol w:w="395"/>
        <w:gridCol w:w="109"/>
        <w:gridCol w:w="109"/>
        <w:gridCol w:w="109"/>
        <w:gridCol w:w="546"/>
        <w:gridCol w:w="438"/>
        <w:gridCol w:w="315"/>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r>
      <w:tr>
        <w:trPr/>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r>
      <w:tr>
        <w:trPr/>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483,485 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Homebuilding Revenues, Home Closings, Average Sales Price Per Home Closed (ASP), Average Community Count, and Average Monthly Absorption Rate by Reportable Segment</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(Revenues in thousands,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00"/>
        <w:gridCol w:w="351"/>
        <w:gridCol w:w="353"/>
        <w:gridCol w:w="109"/>
        <w:gridCol w:w="109"/>
        <w:gridCol w:w="109"/>
        <w:gridCol w:w="251"/>
        <w:gridCol w:w="984"/>
        <w:gridCol w:w="130"/>
        <w:gridCol w:w="109"/>
        <w:gridCol w:w="109"/>
        <w:gridCol w:w="109"/>
        <w:gridCol w:w="347"/>
        <w:gridCol w:w="284"/>
        <w:gridCol w:w="285"/>
        <w:gridCol w:w="109"/>
        <w:gridCol w:w="109"/>
        <w:gridCol w:w="109"/>
        <w:gridCol w:w="211"/>
        <w:gridCol w:w="826"/>
        <w:gridCol w:w="109"/>
        <w:gridCol w:w="109"/>
        <w:gridCol w:w="109"/>
        <w:gridCol w:w="109"/>
        <w:gridCol w:w="393"/>
        <w:gridCol w:w="393"/>
        <w:gridCol w:w="394"/>
        <w:gridCol w:w="109"/>
        <w:gridCol w:w="109"/>
        <w:gridCol w:w="109"/>
        <w:gridCol w:w="384"/>
        <w:gridCol w:w="384"/>
        <w:gridCol w:w="385"/>
        <w:gridCol w:w="109"/>
        <w:gridCol w:w="109"/>
        <w:gridCol w:w="109"/>
        <w:gridCol w:w="602"/>
        <w:gridCol w:w="396"/>
        <w:gridCol w:w="216"/>
        <w:gridCol w:w="165"/>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39" w:type="dxa"/>
            <w:gridSpan w:val="22"/>
            <w:tcBorders/>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216,937 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821,247 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00"/>
        <w:gridCol w:w="351"/>
        <w:gridCol w:w="353"/>
        <w:gridCol w:w="109"/>
        <w:gridCol w:w="109"/>
        <w:gridCol w:w="109"/>
        <w:gridCol w:w="251"/>
        <w:gridCol w:w="984"/>
        <w:gridCol w:w="130"/>
        <w:gridCol w:w="109"/>
        <w:gridCol w:w="109"/>
        <w:gridCol w:w="109"/>
        <w:gridCol w:w="347"/>
        <w:gridCol w:w="284"/>
        <w:gridCol w:w="285"/>
        <w:gridCol w:w="109"/>
        <w:gridCol w:w="109"/>
        <w:gridCol w:w="109"/>
        <w:gridCol w:w="211"/>
        <w:gridCol w:w="826"/>
        <w:gridCol w:w="109"/>
        <w:gridCol w:w="109"/>
        <w:gridCol w:w="109"/>
        <w:gridCol w:w="109"/>
        <w:gridCol w:w="393"/>
        <w:gridCol w:w="393"/>
        <w:gridCol w:w="394"/>
        <w:gridCol w:w="109"/>
        <w:gridCol w:w="109"/>
        <w:gridCol w:w="109"/>
        <w:gridCol w:w="384"/>
        <w:gridCol w:w="384"/>
        <w:gridCol w:w="385"/>
        <w:gridCol w:w="109"/>
        <w:gridCol w:w="109"/>
        <w:gridCol w:w="109"/>
        <w:gridCol w:w="602"/>
        <w:gridCol w:w="396"/>
        <w:gridCol w:w="216"/>
        <w:gridCol w:w="165"/>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39" w:type="dxa"/>
            <w:gridSpan w:val="22"/>
            <w:tcBorders/>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214,132 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834,905 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Owned and Controlled Lots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table below shows (i) home closings by reportable segment for the six months ended June 30, 2026 and (ii) the Company’s owned or controlled lots by reportable segment as of June 30, 2026.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9044"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949"/>
        <w:gridCol w:w="949"/>
        <w:gridCol w:w="952"/>
        <w:gridCol w:w="109"/>
        <w:gridCol w:w="109"/>
        <w:gridCol w:w="109"/>
        <w:gridCol w:w="360"/>
        <w:gridCol w:w="361"/>
        <w:gridCol w:w="301"/>
        <w:gridCol w:w="115"/>
        <w:gridCol w:w="115"/>
        <w:gridCol w:w="115"/>
        <w:gridCol w:w="340"/>
        <w:gridCol w:w="340"/>
        <w:gridCol w:w="341"/>
        <w:gridCol w:w="115"/>
        <w:gridCol w:w="115"/>
        <w:gridCol w:w="115"/>
        <w:gridCol w:w="360"/>
        <w:gridCol w:w="361"/>
        <w:gridCol w:w="256"/>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Owned</w:t>
            </w:r>
            <w:r>
              <w:rPr>
                <w:color w:val="000000"/>
              </w:rPr>
              <w:t xml:space="preserve"> </w:t>
            </w:r>
            <w:r>
              <w:rPr>
                <w:rFonts w:ascii="Times New Roman;serif" w:hAnsi="Times New Roman;serif"/>
                <w:b/>
                <w:color w:val="000000"/>
                <w:sz w:val="12"/>
              </w:rPr>
              <w:t>(1)</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Controlled</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9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50,522 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57,406 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(1)Of the 50,522 owned lots as of June 30, 2026, 33,775 were raw/under development lots and 16,747 were finished lots. Finished lots included 1,858 completed homes, including information centers, and 1,899 homes in progress.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Backlog Data</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As of the dates set forth below, the Company’s net orders, cancellation rate and ending backlog homes and value were as follows (dollars in thousands, unaudited):</w:t>
      </w:r>
    </w:p>
    <w:tbl>
      <w:tblPr>
        <w:tblW w:w="5997" w:type="dxa"/>
        <w:jc w:val="left"/>
        <w:tblInd w:w="0" w:type="dxa"/>
        <w:tblLayout w:type="fixed"/>
        <w:tblCellMar>
          <w:top w:w="28" w:type="dxa"/>
          <w:left w:w="28" w:type="dxa"/>
          <w:bottom w:w="28" w:type="dxa"/>
          <w:right w:w="28" w:type="dxa"/>
        </w:tblCellMar>
      </w:tblPr>
      <w:tblGrid>
        <w:gridCol w:w="852"/>
        <w:gridCol w:w="751"/>
        <w:gridCol w:w="752"/>
        <w:gridCol w:w="109"/>
        <w:gridCol w:w="109"/>
        <w:gridCol w:w="109"/>
        <w:gridCol w:w="211"/>
        <w:gridCol w:w="826"/>
        <w:gridCol w:w="271"/>
        <w:gridCol w:w="109"/>
        <w:gridCol w:w="109"/>
        <w:gridCol w:w="109"/>
        <w:gridCol w:w="211"/>
        <w:gridCol w:w="826"/>
        <w:gridCol w:w="271"/>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6"/>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Backlog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2026 </w:t>
            </w:r>
            <w:r>
              <w:rPr>
                <w:rFonts w:ascii="Times New Roman;serif" w:hAnsi="Times New Roman;serif"/>
                <w:b/>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2025 </w:t>
            </w:r>
            <w:r>
              <w:rPr>
                <w:rFonts w:ascii="Times New Roman;serif" w:hAnsi="Times New Roman;serif"/>
                <w:b/>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orders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Cancellation rate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Ending backlog – homes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Ending backlog – value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(1)Net orders are new (gross) orders for the purchase of homes during the period, less cancellations of existing purchase contracts during the period.</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(2)Cancellation rate for a period is the total number of purchase contracts cancelled during the period divided by the total new (gross) orders for the purchase of homes during the period.</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(3)Ending backlog consists of retail homes at the end of the period that are under a purchase contract that has been signed by homebuyers who have met preliminary financing criteria but have not yet closed and wholesale contracts with varying terms. Ending backlog is valued at the contract amount.</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(4)As of June 30, 2026, the Company had 269 units related to bulk sales agreements associated with its wholesale business.</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(5)As of June 30, 2025, the Company had 91 units related to bulk sales agreements associated with its wholesale business.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Non-GAAP Measures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addition to the results reported in accordance with accounting principles generally accepted in the United States (“GAAP”), the Company has provided information in this press release relating to adjusted net income, adjusted basic earnings per share, adjusted diluted earnings per share, homebuilding gross margin excluding inventory impairment, adjusted homebuilding gross margin, and net debt to capital ratio.</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Adjusted Net Income, Adjusted Basic Earnings per Share, and Adjusted Diluted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Adjusted net income, adjusted basic earnings per share, and adjusted diluted earnings per share are non-GAAP financial measures used by management as supplemental measures in evaluating operating performance. The Company defines adjusted net income as net income less inventory impairment charges. The Company defines adjusted basic earnings per share as adjusted net income divided by weighted average basic shares outstanding. The Company defines adjusted diluted earnings per share as adjusted net income divided by weighted average diluted shares outstanding. Management believes that the presentation of adjusted net income, adjusted basic earnings per share, and adjusted diluted earnings per share provides useful information to investors because such measures isolate the impact that inventory impairment charges have on net income and earnings per share. However, because adjusted net income, adjusted basic earnings per share, and adjusted diluted earnings per share exclude the inventory impairment charge, which has real economic effects and could impact the Company’s results, the utility of adjusted net income, adjusted basic earnings per share, and adjusted diluted earnings per share as measures of the Company’s operating performance may be limited. In addition, other companies may not calculate adjusted net income, adjusted basic earnings per share, and adjusted diluted earnings per share in the same manner that the Company does. Accordingly, adjusted net income, adjusted basic earnings per share, and adjusted diluted earnings per share should be considered only as supplements to net income, basic earnings per share, and diluted earnings per share, respectively, as measures of the Company’s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reconciles adjusted net income to net income, which is the GAAP financial measure that management believes to be most directly comparable, and adjusted basic earnings per share and adjusted diluted earnings per share are calculated by dividing adjusted net income by basic or diluted weighted average shares outstanding, respectively (dollars in thousands, except earnings per share, 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04"/>
        <w:gridCol w:w="1321"/>
        <w:gridCol w:w="1336"/>
        <w:gridCol w:w="244"/>
        <w:gridCol w:w="837"/>
        <w:gridCol w:w="116"/>
        <w:gridCol w:w="116"/>
        <w:gridCol w:w="116"/>
        <w:gridCol w:w="116"/>
        <w:gridCol w:w="244"/>
        <w:gridCol w:w="837"/>
        <w:gridCol w:w="116"/>
        <w:gridCol w:w="109"/>
        <w:gridCol w:w="109"/>
        <w:gridCol w:w="109"/>
        <w:gridCol w:w="244"/>
        <w:gridCol w:w="837"/>
        <w:gridCol w:w="109"/>
        <w:gridCol w:w="109"/>
        <w:gridCol w:w="109"/>
        <w:gridCol w:w="109"/>
        <w:gridCol w:w="244"/>
        <w:gridCol w:w="837"/>
        <w:gridCol w:w="109"/>
        <w:gridCol w:w="109"/>
        <w:gridCol w:w="159"/>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23,201,571 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23,221,565 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23,279,553 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23,265,062 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08"/>
        <w:gridCol w:w="1316"/>
        <w:gridCol w:w="1337"/>
        <w:gridCol w:w="244"/>
        <w:gridCol w:w="837"/>
        <w:gridCol w:w="116"/>
        <w:gridCol w:w="116"/>
        <w:gridCol w:w="116"/>
        <w:gridCol w:w="116"/>
        <w:gridCol w:w="244"/>
        <w:gridCol w:w="837"/>
        <w:gridCol w:w="116"/>
        <w:gridCol w:w="109"/>
        <w:gridCol w:w="109"/>
        <w:gridCol w:w="109"/>
        <w:gridCol w:w="244"/>
        <w:gridCol w:w="837"/>
        <w:gridCol w:w="109"/>
        <w:gridCol w:w="109"/>
        <w:gridCol w:w="109"/>
        <w:gridCol w:w="109"/>
        <w:gridCol w:w="244"/>
        <w:gridCol w:w="837"/>
        <w:gridCol w:w="109"/>
        <w:gridCol w:w="109"/>
        <w:gridCol w:w="159"/>
      </w:tblGrid>
      <w:tr>
        <w:trPr/>
        <w:tc>
          <w:tcPr>
            <w:tcW w:w="15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due to above reconciling item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23,201,571 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23,221,565 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basic earnings per share </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23,279,553 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23,265,062 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Homebuilding Gross Margin Excluding Inventory Impairment and Adjusted Homebuilding Gross Margin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Homebuilding gross margin excluding inventory impairment and adjusted homebuilding gross margin are non-GAAP financial measures used by management as supplemental measures in evaluating operating performance. The Company defines homebuilding gross margin excluding inventory impairment as homebuilding gross margin less inventory impairment charges. The Company defines adjusted homebuilding gross margin as homebuilding gross margin excluding inventory impairment, less capitalized interest and adjustments resulting from the application of purchase accounting included in the cost of sales. Management believes homebuilding gross margin excluding inventory impairment and adjusted homebuilding gross margin are useful because they isolate the impact that capitalized interest, purchase accounting adjustments, and inventory impairment (as applicable) have on homebuilding gross margin. However, because homebuilding gross margin excluding inventory impairment and adjusted homebuilding gross margin exclude capitalized interest, purchase accounting adjustments, and inventory impairment (as applicable), which have real economic effects and could impact the Company’s results, the utility of homebuilding gross margin excluding inventory impairment and adjusted homebuilding gross margin as measures of the Company’s operating performance may be limited. In addition, other companies may not calculate homebuilding gross margin excluding inventory impairment and adjusted homebuilding gross margin in the same manner that the Company does. Accordingly, homebuilding gross margin excluding inventory impairment and adjusted homebuilding gross margin should be considered only as supplements to homebuilding gross margin as a measure of the Company’s performance.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reconciles homebuilding gross margin excluding inventory impairment and adjusted homebuilding gross margin to homebuilding gross margin (homebuilding revenues less homebuilding costs), which is the GAAP financial measure that management believes to be most directly comparable (dollars in thousands, unaudited):</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93"/>
        <w:gridCol w:w="1048"/>
        <w:gridCol w:w="105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55"/>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6"/>
            <w:tcBorders/>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impairment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inventory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amortized to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accounting adjustments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homebuilding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Homebuilding gross margin %</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Homebuilding gross margin % excluding inventory impairment</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homebuilding gross margin %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(1)Adjustments result from the application of purchase accounting for acquisitions and represent the amount of the fair value step-up adjustments included in cost of sales for real estate inventory sold after the acquisition dates. </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(2)Calculated as a percentage of homebuilding revenues.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 xml:space="preserve">Net Debt to Capital Ratio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Net debt to capital ratio is a non-GAAP financial measure used by management as a supplemental measure in understanding the leverage employed in the Company’s operations and as an indicator of its ability to obtain financing. The Company defines net debt to capital ratio as net debt (which is total debt minus cash and cash equivalents) divided by net debt plus total equity. Management believes that the presentation of net debt to capital ratio provides useful information to investors regarding the Company’s financial leverage and its ability to meet long-term obligations. By excluding cash and cash equivalents from total debt, the ratio offers a clearer view of the Company’s capital structure and financial flexibility. Management uses this metric to monitor the Company’s capital efficiency and to evaluate the effectiveness of its capital management strategies over time. Other companies may define this measure differently and, as a result, the Company’s measure of net debt to capital ratio may not be directly comparable to the measures of other companies.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reconciles net debt to capital ratio (a non-GAAP financial measure) to debt to capital ratio, which is the GAAP financial measure that management believes to be most directly comparable (dollars in thousands, unaudited):</w:t>
      </w:r>
    </w:p>
    <w:p>
      <w:pPr>
        <w:pStyle w:val="TextBody"/>
        <w:bidi w:val="0"/>
        <w:spacing w:before="120" w:after="283"/>
        <w:jc w:val="both"/>
        <w:rPr/>
      </w:pPr>
      <w:r>
        <w:rPr/>
      </w:r>
    </w:p>
    <w:tbl>
      <w:tblPr>
        <w:tblW w:w="6839" w:type="dxa"/>
        <w:jc w:val="left"/>
        <w:tblInd w:w="0" w:type="dxa"/>
        <w:tblLayout w:type="fixed"/>
        <w:tblCellMar>
          <w:top w:w="28" w:type="dxa"/>
          <w:left w:w="28" w:type="dxa"/>
          <w:bottom w:w="28" w:type="dxa"/>
          <w:right w:w="28" w:type="dxa"/>
        </w:tblCellMar>
      </w:tblPr>
      <w:tblGrid>
        <w:gridCol w:w="1030"/>
        <w:gridCol w:w="908"/>
        <w:gridCol w:w="911"/>
        <w:gridCol w:w="109"/>
        <w:gridCol w:w="109"/>
        <w:gridCol w:w="109"/>
        <w:gridCol w:w="211"/>
        <w:gridCol w:w="976"/>
        <w:gridCol w:w="271"/>
        <w:gridCol w:w="109"/>
        <w:gridCol w:w="109"/>
        <w:gridCol w:w="109"/>
        <w:gridCol w:w="249"/>
        <w:gridCol w:w="1155"/>
        <w:gridCol w:w="320"/>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4"/>
            <w:tcBorders/>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1,580,907 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2,132,656 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2,096,289 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3,713,563 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3,753,092 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Debt to capital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1,580,907 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61,081 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61,247 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1,519,826 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1,595,556 </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2,132,656 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2,096,289 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net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3,652,482 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3,691,845 </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Net debt to capital ratio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32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Net debt to capital ratio is calculated as net debt (which is total debt minus cash and cash equivalents) divided by net debt plus total equity.</w:t>
      </w:r>
    </w:p>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CONTACT:     Joshua D. Fattor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Executive Vice President of Finance and Capital Markets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(281) 210-2586</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investorrelations@lgihomes.com</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4597</Words>
  <Characters>25698</Characters>
  <CharactersWithSpaces>29874</CharactersWithSpaces>
  <Paragraphs>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