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 xml:space="preserve">Date of report (date of earliest event reported): </w:t>
      </w:r>
      <w:r>
        <w:rPr>
          <w:rFonts w:ascii="Times New Roman" w:cs="Times New Roman" w:eastAsia="Times New Roman" w:hAnsi="Times New Roman"/>
          <w:sz w:val="22"/>
          <w:szCs w:val="22"/>
          <w:color w:val="auto"/>
        </w:rPr>
        <w:t>June 8, 2026</w:t>
      </w:r>
    </w:p>
    <w:p>
      <w:pPr>
        <w:spacing w:after="0" w:line="2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LGI HOMES, INC.</w:t>
      </w:r>
    </w:p>
    <w:p>
      <w:pPr>
        <w:sectPr>
          <w:pgSz w:w="11900" w:h="16838" w:orient="portrait"/>
          <w:cols w:equalWidth="0" w:num="1">
            <w:col w:w="11080"/>
          </w:cols>
          <w:pgMar w:left="320" w:top="1051" w:right="499" w:bottom="1440" w:gutter="0" w:footer="0" w:header="0"/>
        </w:sectPr>
      </w:pPr>
    </w:p>
    <w:p>
      <w:pPr>
        <w:spacing w:after="0" w:line="200" w:lineRule="exact"/>
        <w:rPr>
          <w:sz w:val="24"/>
          <w:szCs w:val="24"/>
          <w:color w:val="auto"/>
        </w:rPr>
      </w:pPr>
    </w:p>
    <w:p>
      <w:pPr>
        <w:spacing w:after="0" w:line="307" w:lineRule="exact"/>
        <w:rPr>
          <w:sz w:val="24"/>
          <w:szCs w:val="24"/>
          <w:color w:val="auto"/>
        </w:rPr>
      </w:pPr>
    </w:p>
    <w:p>
      <w:pPr>
        <w:jc w:val="center"/>
        <w:ind w:left="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001-36126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7"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46-3088013</w:t>
      </w:r>
    </w:p>
    <w:p>
      <w:pPr>
        <w:spacing w:after="0" w:line="26" w:lineRule="exact"/>
        <w:rPr>
          <w:sz w:val="24"/>
          <w:szCs w:val="24"/>
          <w:color w:val="auto"/>
        </w:rPr>
      </w:pPr>
    </w:p>
    <w:p>
      <w:pPr>
        <w:sectPr>
          <w:pgSz w:w="11900" w:h="16838" w:orient="portrait"/>
          <w:cols w:equalWidth="0" w:num="3">
            <w:col w:w="2920" w:space="720"/>
            <w:col w:w="4580" w:space="720"/>
            <w:col w:w="2140"/>
          </w:cols>
          <w:pgMar w:left="320" w:top="1051" w:right="499" w:bottom="1440" w:gutter="0" w:footer="0" w:header="0"/>
          <w:type w:val="continuous"/>
        </w:sect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0" w:space="720"/>
            <w:col w:w="2760" w:space="720"/>
            <w:col w:w="2400"/>
          </w:cols>
          <w:pgMar w:left="320" w:top="1051" w:right="499" w:bottom="1440" w:gutter="0" w:footer="0" w:header="0"/>
          <w:type w:val="continuous"/>
        </w:sectPr>
      </w:pPr>
    </w:p>
    <w:p>
      <w:pPr>
        <w:spacing w:after="0" w:line="150"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7"/>
          <w:szCs w:val="17"/>
          <w:b w:val="1"/>
          <w:bCs w:val="1"/>
          <w:color w:val="auto"/>
        </w:rPr>
        <w:t>1450 Lake Robbins Drive, Suite 430,</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Woodlands,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77380</w:t>
      </w:r>
    </w:p>
    <w:p>
      <w:pPr>
        <w:spacing w:after="0" w:line="31" w:lineRule="exact"/>
        <w:rPr>
          <w:sz w:val="24"/>
          <w:szCs w:val="24"/>
          <w:color w:val="auto"/>
        </w:rPr>
      </w:pPr>
    </w:p>
    <w:p>
      <w:pPr>
        <w:sectPr>
          <w:pgSz w:w="11900" w:h="16838" w:orient="portrait"/>
          <w:cols w:equalWidth="0" w:num="3">
            <w:col w:w="4540" w:space="680"/>
            <w:col w:w="2540" w:space="720"/>
            <w:col w:w="2600"/>
          </w:cols>
          <w:pgMar w:left="320" w:top="1051" w:right="499" w:bottom="1440" w:gutter="0" w:footer="0" w:header="0"/>
          <w:type w:val="continuous"/>
        </w:sectPr>
      </w:pPr>
    </w:p>
    <w:p>
      <w:pPr>
        <w:jc w:val="center"/>
        <w:ind w:left="6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660" w:space="720"/>
            <w:col w:w="2700"/>
          </w:cols>
          <w:pgMar w:left="320" w:top="1051" w:right="499" w:bottom="1440" w:gutter="0" w:footer="0" w:header="0"/>
          <w:type w:val="continuous"/>
        </w:sectPr>
      </w:pPr>
    </w:p>
    <w:p>
      <w:pPr>
        <w:spacing w:after="0" w:line="14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(281) 362-8998</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ectPr>
          <w:pgSz w:w="11900" w:h="16838" w:orient="portrait"/>
          <w:cols w:equalWidth="0" w:num="1">
            <w:col w:w="11080"/>
          </w:cols>
          <w:pgMar w:left="320" w:top="1051" w:right="499" w:bottom="1440" w:gutter="0" w:footer="0" w:header="0"/>
          <w:type w:val="continuous"/>
        </w:sectPr>
      </w:pPr>
    </w:p>
    <w:p>
      <w:pPr>
        <w:spacing w:after="0" w:line="22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67310</wp:posOffset>
            </wp:positionV>
            <wp:extent cx="15430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Instructions A.2. below):</w:t>
      </w:r>
    </w:p>
    <w:p>
      <w:pPr>
        <w:spacing w:after="0" w:line="54"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5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1051" w:right="499" w:bottom="1440" w:gutter="0" w:footer="0" w:header="0"/>
          <w:type w:val="continuous"/>
        </w:sectPr>
      </w:pPr>
    </w:p>
    <w:p>
      <w:pPr>
        <w:spacing w:after="0" w:line="22"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30" w:lineRule="exact"/>
        <w:rPr>
          <w:sz w:val="24"/>
          <w:szCs w:val="24"/>
          <w:color w:val="auto"/>
        </w:rPr>
      </w:pPr>
    </w:p>
    <w:p>
      <w:pPr>
        <w:sectPr>
          <w:pgSz w:w="11900" w:h="16838" w:orient="portrait"/>
          <w:cols w:equalWidth="0" w:num="3">
            <w:col w:w="4280" w:space="720"/>
            <w:col w:w="2340" w:space="720"/>
            <w:col w:w="3020"/>
          </w:cols>
          <w:pgMar w:left="320" w:top="1051" w:right="49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LGIH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p>
      <w:pPr>
        <w:spacing w:after="0" w:line="200" w:lineRule="exact"/>
        <w:rPr>
          <w:sz w:val="24"/>
          <w:szCs w:val="24"/>
          <w:color w:val="auto"/>
        </w:rPr>
      </w:pPr>
    </w:p>
    <w:p>
      <w:pPr>
        <w:sectPr>
          <w:pgSz w:w="11900" w:h="16838" w:orient="portrait"/>
          <w:cols w:equalWidth="0" w:num="3">
            <w:col w:w="4640" w:space="720"/>
            <w:col w:w="2340" w:space="720"/>
            <w:col w:w="2660"/>
          </w:cols>
          <w:pgMar w:left="320" w:top="1051" w:right="499" w:bottom="1440" w:gutter="0" w:footer="0" w:header="0"/>
          <w:type w:val="continuous"/>
        </w:sectPr>
      </w:pPr>
    </w:p>
    <w:p>
      <w:pPr>
        <w:spacing w:after="0" w:line="145"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16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80"/>
          </w:cols>
          <w:pgMar w:left="320" w:top="1051" w:right="499" w:bottom="1440" w:gutter="0" w:footer="0" w:header="0"/>
          <w:type w:val="continuous"/>
        </w:sectPr>
      </w:pPr>
    </w:p>
    <w:bookmarkStart w:id="1" w:name="page2"/>
    <w:bookmarkEnd w:id="1"/>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4.01</w:t>
      </w:r>
      <w:r>
        <w:rPr>
          <w:sz w:val="20"/>
          <w:szCs w:val="20"/>
          <w:color w:val="auto"/>
        </w:rPr>
        <w:tab/>
      </w:r>
      <w:r>
        <w:rPr>
          <w:rFonts w:ascii="Times New Roman" w:cs="Times New Roman" w:eastAsia="Times New Roman" w:hAnsi="Times New Roman"/>
          <w:sz w:val="18"/>
          <w:szCs w:val="18"/>
          <w:b w:val="1"/>
          <w:bCs w:val="1"/>
          <w:color w:val="auto"/>
        </w:rPr>
        <w:t>Changes in Registrant’s Certifying Accountant.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Dismissal of Independent Registered Public Accounting Firm</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of Directors (the “Audit Committee”) of LGI Homes, Inc. (the “Company”) conducted a competitive selection process to determine the Company’s independent registered public accounting firm for the fiscal year ending December 31, 2026, including Ernst &amp; Young LLP (“E&amp;Y”), the Company’s independent registered public accounting firm. As a result of this competitive selection process, following the review and evaluation of proposals from participating firms, on June 8, 2026 (the “Effective Date”), the Audit Committee dismissed E&amp;Y as the Company’s independent registered public accounting firm.</w:t>
      </w:r>
    </w:p>
    <w:p>
      <w:pPr>
        <w:spacing w:after="0" w:line="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audit reports of E&amp;Y on the Company’s consolidated financial statements as of and for the fiscal years ended December 31, 2025 and 2024 did not contain any adverse opinion or disclaimer of opinion, nor were they qualified or modified as to uncertainty, audit scope or accounting principles.</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fiscal years ended December 31, 2025 and 2024, and the subsequent interim period through the Effective Date, there were no: (1) “disagreements” (as defined in Item 304(a)(1)(iv) of Regulation S-K and the related instructions) with E&amp;Y on any matter of accounting principles or practices, financial statement disclosure or auditing scope or procedure, which disagreements, if not resolved to the satisfaction of E&amp;Y, would have caused E&amp;Y to make reference to the subject matter of such disagreements in connection with their reports for such years, or (2) “reportable events” (as defined in Item 304(a)(1)(v) of Regulation S-K).</w:t>
      </w:r>
    </w:p>
    <w:p>
      <w:pPr>
        <w:spacing w:after="0" w:line="7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provided E&amp;Y with a copy of the disclosures contained in this Current Report on Form 8-K (this “Form 8-K”) and requested that E&amp;Y furnish the Company with a letter addressed to the Securities and Exchange Commission stating whether or not E&amp;Y agrees with the statements contained herein. A copy of E&amp;Y’s letter, dated June 9, 2026, is filed as Exhibit 16.1 to this Form 8-K.</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Engagement of New Independent Registered Public Accounting Firm</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8, 2026, the Audit Committee appointed Deloitte &amp; Touche LLP (“Deloitte”) as the Company’s independent registered public accounting firm for the fiscal year ending December 31, 2026, effective immediately.</w:t>
      </w:r>
    </w:p>
    <w:p>
      <w:pPr>
        <w:spacing w:after="0" w:line="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2025 and 2024, and the subsequent interim period through the Effective Date, neither the Company nor anyone on its behalf consulted Deloitte with respect to (a) the application of accounting principles to a specified transaction, either completed or proposed, or the type of audit opinion that might be rendered on the Company’s consolidated financial statements, and neither a written report nor oral advice was provided to the Company that Deloitte concluded was an important factor considered by the Company in reaching a decision as to any accounting, auditing or financial reporting issue, or (b) any matter that was either the subject of a “disagreement” (as defined in Item 304(a)(1)(iv) of Regulation S-K and the related instructions) or a “reportable event” (as defined in Item 304(a)(1)(v) of Regulation S-K).</w:t>
      </w:r>
    </w:p>
    <w:p>
      <w:pPr>
        <w:spacing w:after="0" w:line="224"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1" w:lineRule="exact"/>
        <w:rPr>
          <w:sz w:val="20"/>
          <w:szCs w:val="20"/>
          <w:color w:val="auto"/>
        </w:rPr>
      </w:pPr>
    </w:p>
    <w:p>
      <w:pPr>
        <w:ind w:left="1860" w:hanging="835"/>
        <w:spacing w:after="0"/>
        <w:tabs>
          <w:tab w:leader="none" w:pos="18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97" w:lineRule="exact"/>
        <w:rPr>
          <w:sz w:val="20"/>
          <w:szCs w:val="20"/>
          <w:color w:val="auto"/>
        </w:rPr>
      </w:pPr>
    </w:p>
    <w:p>
      <w:pPr>
        <w:ind w:left="1020"/>
        <w:spacing w:after="0"/>
        <w:tabs>
          <w:tab w:leader="none" w:pos="18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u w:val="single" w:color="auto"/>
          <w:color w:val="0000FF"/>
        </w:rPr>
        <w:t>Letter to the Securities and Exchange Commission from E&amp;Y dated June 9, 2026</w:t>
      </w:r>
    </w:p>
    <w:p>
      <w:pPr>
        <w:spacing w:after="0" w:line="27" w:lineRule="exact"/>
        <w:rPr>
          <w:sz w:val="20"/>
          <w:szCs w:val="20"/>
          <w:color w:val="auto"/>
        </w:rPr>
      </w:pPr>
    </w:p>
    <w:p>
      <w:pPr>
        <w:ind w:left="1020"/>
        <w:spacing w:after="0"/>
        <w:tabs>
          <w:tab w:leader="none" w:pos="18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Dated: June 10, 2026</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LGI HOMES, INC.</w:t>
      </w:r>
    </w:p>
    <w:p>
      <w:pPr>
        <w:spacing w:after="0" w:line="288" w:lineRule="exact"/>
        <w:rPr>
          <w:sz w:val="20"/>
          <w:szCs w:val="20"/>
          <w:color w:val="auto"/>
        </w:rPr>
      </w:pPr>
    </w:p>
    <w:p>
      <w:pPr>
        <w:ind w:left="566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Eric Lipar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2974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Eric Lipar</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ectPr>
          <w:pgSz w:w="11900" w:h="16838" w:orient="portrait"/>
          <w:cols w:equalWidth="0" w:num="1">
            <w:col w:w="11240"/>
          </w:cols>
          <w:pgMar w:left="320" w:top="887"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9, 2026</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Commissioners: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We have read Item 4.01 of Form 8-K dated June 8, 2026, of LGI Homes, Inc. and are in agreement with the statements contained in the second sentence of the first paragraph and the second through fourth paragraphs of Item 4.01 therein. We have no basis to agree or disagree with other statements of the registrant contained therein.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and Young LLP</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2026-06-10T16:20:13Z</dcterms:created>
  <dcterms:modified xsi:type="dcterms:W3CDTF">2026-06-10T16:20:13Z</dcterms:modified>
</cp:coreProperties>
</file>