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19"/>
          <w:szCs w:val="19"/>
          <w:color w:val="auto"/>
        </w:rPr>
        <w:t>November 3, 2026</w:t>
      </w:r>
    </w:p>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LGI HOMES, INC.</w:t>
      </w:r>
    </w:p>
    <w:p>
      <w:pPr>
        <w:sectPr>
          <w:pgSz w:w="11900" w:h="16838" w:orient="portrait"/>
          <w:cols w:equalWidth="0" w:num="1">
            <w:col w:w="11080"/>
          </w:cols>
          <w:pgMar w:left="320" w:top="1051" w:right="499" w:bottom="1440" w:gutter="0" w:footer="0" w:header="0"/>
        </w:sectPr>
      </w:pPr>
    </w:p>
    <w:p>
      <w:pPr>
        <w:spacing w:after="0" w:line="200" w:lineRule="exact"/>
        <w:rPr>
          <w:sz w:val="24"/>
          <w:szCs w:val="24"/>
          <w:color w:val="auto"/>
        </w:rPr>
      </w:pPr>
    </w:p>
    <w:p>
      <w:pPr>
        <w:spacing w:after="0" w:line="320" w:lineRule="exact"/>
        <w:rPr>
          <w:sz w:val="24"/>
          <w:szCs w:val="24"/>
          <w:color w:val="auto"/>
        </w:rPr>
      </w:pPr>
    </w:p>
    <w:p>
      <w:pPr>
        <w:jc w:val="center"/>
        <w:ind w:lef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001-36126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46-3088013</w:t>
      </w:r>
    </w:p>
    <w:p>
      <w:pPr>
        <w:spacing w:after="0" w:line="34" w:lineRule="exact"/>
        <w:rPr>
          <w:sz w:val="24"/>
          <w:szCs w:val="24"/>
          <w:color w:val="auto"/>
        </w:rPr>
      </w:pPr>
    </w:p>
    <w:p>
      <w:pPr>
        <w:sectPr>
          <w:pgSz w:w="11900" w:h="16838" w:orient="portrait"/>
          <w:cols w:equalWidth="0" w:num="3">
            <w:col w:w="2920" w:space="720"/>
            <w:col w:w="4580" w:space="720"/>
            <w:col w:w="2140"/>
          </w:cols>
          <w:pgMar w:left="320" w:top="1051" w:right="49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0" w:space="720"/>
            <w:col w:w="2760" w:space="720"/>
            <w:col w:w="2400"/>
          </w:cols>
          <w:pgMar w:left="320" w:top="1051" w:right="499" w:bottom="1440" w:gutter="0" w:footer="0" w:header="0"/>
          <w:type w:val="continuous"/>
        </w:sectPr>
      </w:pPr>
    </w:p>
    <w:p>
      <w:pPr>
        <w:spacing w:after="0" w:line="163"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1450 Lake Robbins Drive, Suite 430,</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Woodlands, Texas</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77380</w:t>
      </w:r>
    </w:p>
    <w:p>
      <w:pPr>
        <w:spacing w:after="0" w:line="34" w:lineRule="exact"/>
        <w:rPr>
          <w:sz w:val="24"/>
          <w:szCs w:val="24"/>
          <w:color w:val="auto"/>
        </w:rPr>
      </w:pPr>
    </w:p>
    <w:p>
      <w:pPr>
        <w:sectPr>
          <w:pgSz w:w="11900" w:h="16838" w:orient="portrait"/>
          <w:cols w:equalWidth="0" w:num="3">
            <w:col w:w="4540" w:space="680"/>
            <w:col w:w="2540" w:space="720"/>
            <w:col w:w="2600"/>
          </w:cols>
          <w:pgMar w:left="320" w:top="1051" w:right="49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660" w:space="720"/>
            <w:col w:w="2700"/>
          </w:cols>
          <w:pgMar w:left="320" w:top="1051" w:right="499" w:bottom="1440" w:gutter="0" w:footer="0" w:header="0"/>
          <w:type w:val="continuous"/>
        </w:sectPr>
      </w:pPr>
    </w:p>
    <w:p>
      <w:pPr>
        <w:spacing w:after="0" w:line="1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(281) 362-8998</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080"/>
          </w:cols>
          <w:pgMar w:left="320" w:top="1051" w:right="499" w:bottom="1440" w:gutter="0" w:footer="0" w:header="0"/>
          <w:type w:val="continuous"/>
        </w:sectPr>
      </w:pPr>
    </w:p>
    <w:p>
      <w:pPr>
        <w:spacing w:after="0" w:line="2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58420</wp:posOffset>
            </wp:positionV>
            <wp:extent cx="1543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54"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6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 w:lineRule="exact"/>
        <w:rPr>
          <w:sz w:val="24"/>
          <w:szCs w:val="24"/>
          <w:color w:val="auto"/>
        </w:rPr>
      </w:pPr>
    </w:p>
    <w:tbl>
      <w:tblPr>
        <w:tblLayout w:type="fixed"/>
        <w:tblInd w:w="460" w:type="dxa"/>
        <w:tblCellMar>
          <w:top w:w="0" w:type="dxa"/>
          <w:left w:w="0" w:type="dxa"/>
          <w:bottom w:w="0" w:type="dxa"/>
          <w:right w:w="0" w:type="dxa"/>
        </w:tblCellMar>
      </w:tblPr>
      <w:tr>
        <w:trPr>
          <w:trHeight w:val="190"/>
        </w:trPr>
        <w:tc>
          <w:tcPr>
            <w:tcW w:w="35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4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4"/>
        </w:trPr>
        <w:tc>
          <w:tcPr>
            <w:tcW w:w="3560" w:type="dxa"/>
            <w:vAlign w:val="bottom"/>
            <w:vMerge w:val="restart"/>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LGIH</w:t>
            </w:r>
          </w:p>
        </w:tc>
        <w:tc>
          <w:tcPr>
            <w:tcW w:w="364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90"/>
        </w:trPr>
        <w:tc>
          <w:tcPr>
            <w:tcW w:w="3560" w:type="dxa"/>
            <w:vAlign w:val="bottom"/>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364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Nasdaq Texas, LLC</w:t>
            </w:r>
          </w:p>
        </w:tc>
        <w:tc>
          <w:tcPr>
            <w:tcW w:w="0" w:type="dxa"/>
            <w:vAlign w:val="bottom"/>
          </w:tcPr>
          <w:p>
            <w:pPr>
              <w:spacing w:after="0"/>
              <w:rPr>
                <w:sz w:val="1"/>
                <w:szCs w:val="1"/>
                <w:color w:val="auto"/>
              </w:rPr>
            </w:pPr>
          </w:p>
        </w:tc>
      </w:tr>
    </w:tbl>
    <w:p>
      <w:pPr>
        <w:spacing w:after="0" w:line="302" w:lineRule="exact"/>
        <w:rPr>
          <w:sz w:val="24"/>
          <w:szCs w:val="24"/>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051" w:right="499" w:bottom="1440" w:gutter="0" w:footer="0" w:header="0"/>
          <w:type w:val="continuous"/>
        </w:sectPr>
      </w:pPr>
    </w:p>
    <w:bookmarkStart w:id="1" w:name="page2"/>
    <w:bookmarkEnd w:id="1"/>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7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November 3, 2026, LGI Homes, Inc. (the “Company”) issued a press release announcing its financial results for the three months ended September 30, 2026. A copy of the press release is furnished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None of the information furnished in this Item 2.02 and the accompanying exhibit will be deemed “filed” for purposes of Section 18 of the Securities Exchange Act of 1934, as amended, or otherwise subject to the liabilities of that section, nor will it be deemed incorporated by reference into any filing by the Company under the Securities Act of 1933, as amended.</w:t>
      </w:r>
    </w:p>
    <w:p>
      <w:pPr>
        <w:spacing w:after="0" w:line="22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The information set forth in </w:t>
      </w:r>
      <w:r>
        <w:rPr>
          <w:rFonts w:ascii="Times New Roman" w:cs="Times New Roman" w:eastAsia="Times New Roman" w:hAnsi="Times New Roman"/>
          <w:sz w:val="18"/>
          <w:szCs w:val="18"/>
          <w:u w:val="single" w:color="auto"/>
          <w:color w:val="0000FF"/>
        </w:rPr>
        <w:t>Item 2.02</w:t>
      </w:r>
      <w:r>
        <w:rPr>
          <w:rFonts w:ascii="Times New Roman" w:cs="Times New Roman" w:eastAsia="Times New Roman" w:hAnsi="Times New Roman"/>
          <w:sz w:val="18"/>
          <w:szCs w:val="18"/>
          <w:color w:val="auto"/>
        </w:rPr>
        <w:t xml:space="preserve"> above and in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 is incorporated herein by reference.</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None of the information furnished in this Item 7.01 and the accompanying exhibit will be deemed “filed” for purposes of Section 18 of the Securities Exchange Act of 1934, as amended, nor will it be deemed incorporated by reference into any registration statement filed by the Company under the Securities Act of 1933, as amended.</w:t>
      </w:r>
    </w:p>
    <w:p>
      <w:pPr>
        <w:spacing w:after="0" w:line="22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58" w:lineRule="exact"/>
        <w:rPr>
          <w:sz w:val="20"/>
          <w:szCs w:val="20"/>
          <w:color w:val="auto"/>
        </w:rPr>
      </w:pPr>
    </w:p>
    <w:p>
      <w:pPr>
        <w:ind w:left="1860" w:hanging="835"/>
        <w:spacing w:after="0"/>
        <w:tabs>
          <w:tab w:leader="none" w:pos="18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310" w:lineRule="exact"/>
        <w:rPr>
          <w:sz w:val="20"/>
          <w:szCs w:val="20"/>
          <w:color w:val="auto"/>
        </w:rPr>
      </w:pPr>
    </w:p>
    <w:p>
      <w:pPr>
        <w:ind w:left="1020"/>
        <w:spacing w:after="0"/>
        <w:tabs>
          <w:tab w:leader="none" w:pos="18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LGI Homes, Inc. issued on November 3, 2026.</w:t>
      </w:r>
    </w:p>
    <w:p>
      <w:pPr>
        <w:spacing w:after="0" w:line="36" w:lineRule="exact"/>
        <w:rPr>
          <w:sz w:val="20"/>
          <w:szCs w:val="20"/>
          <w:color w:val="auto"/>
        </w:rPr>
      </w:pPr>
    </w:p>
    <w:p>
      <w:pPr>
        <w:ind w:left="1020"/>
        <w:spacing w:after="0"/>
        <w:tabs>
          <w:tab w:leader="none" w:pos="1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November 3, 2026</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LGI HOMES, INC.</w:t>
      </w:r>
    </w:p>
    <w:p>
      <w:pPr>
        <w:spacing w:after="0" w:line="306"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Eric Lipar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2974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Eric Lipar</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986155" cy="87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LGI Homes, Inc. Reports Third Quarter 2026 Results</w:t>
      </w:r>
    </w:p>
    <w:p>
      <w:pPr>
        <w:spacing w:after="0" w:line="1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WOODLANDS, Texas, November 3, 2026 (GLOBE NEWSWIRE) - LGI Homes, Inc. (NASDAQ: LGIH) today announced financial results for the third quarter and the nine months ended September 30, 2026.</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delivered strong third quarter financial results, generating year-over-year growth in closings, revenue, and earnings while maintaining strong profitability, expanding our community count, and further strengthening our balance sheet,” said Eric Lipar, Chairman and Chief Executive Officer of LGI Homes.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quarter, we delivered 1,222 homes, a 10.4% increase year-over-year, including 33 currently and previously leased homes. The 1,189 new homes we closed generated homebuilding revenues of $437.5 million, up 10.3%, and total revenues reached $444.5 million, up 10.2% from the prior year.</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“Homebuilding gross margin of 20.2% and adjusted homebuilding gross margin of 23.7% were both above the midpoint of our previous guidance ranges and up 40 basis points sequentially. This reflects the continued benefits of our predominantly self-developed, on-balance-sheet land position and our disciplined approach to balancing affordability and profitability. Our teams also did an excellent job managing costs. SG&amp;A expenses declined on an absolute-dollar basis, and SG&amp;A as a percentage of total revenues improved 180 basis points year-over-year. As a result, net income increased to $24.6 million, or $1.05 per diluted share. We also continued to strengthen our balance sheet, reducing our net debt to capital ratio to 40.6%, a 420 basis point improvement year-over-year.</w:t>
      </w:r>
    </w:p>
    <w:p>
      <w:pPr>
        <w:spacing w:after="0" w:line="2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“Community growth remains an important element of our long-term strategy. We ended the quarter with 151 active communities, a 7.1% increase compared to the same time last year.</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our year-to-date results and current market conditions, we are narrowing our full-year closings guidance and now expect to close between 4,600 and 4,800 homes in 2026. The revised outlook reflects slower sales activity in the quarter as affordability pressures continued to weigh on demand. We continue to see interest in homeownership and are leaning into our proven sales and marketing strategies to improve sales pace while maintaining our disciplined approach to balancing affordability and profitability. We are maintaining the remainder of our full-year 2026 guidance.”</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Mr. Lipar concluded, “As we head into the final quarter of the year, our focus is on finishing 2026 strong. Affordability remains the key consideration for today’s buyers, and we have intentionally broadened our sales process to work with more prospective customers who may need additional time to qualify. With a growing community count, a strengthened balance sheet, and teams that continue to execute at a high level, we believe LGI Homes is well positioned to achieve our full-year objectives and carry that momentum into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 Quarter 2026 Results and Comparisons to Third Quarter 2025</w:t>
      </w:r>
    </w:p>
    <w:p>
      <w:pPr>
        <w:spacing w:after="0" w:line="112" w:lineRule="exact"/>
        <w:rPr>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Homebuilding revenues of $437.5 million, an increase of 10.3%</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home closings of 1,222, including 33 currently and previously leased homes, an increase of 10.4%</w:t>
      </w:r>
    </w:p>
    <w:p>
      <w:pPr>
        <w:spacing w:after="0" w:line="107"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 closings of 1,189, an increase of 11.6%</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sales price per home closed of $367,962, a decrease of 1.2%</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Homebuilding gross margin as a percentage of homebuilding revenues of 20.2%</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homebuilding gross margin* as a percentage of homebuilding revenues of 23.7%</w:t>
      </w:r>
    </w:p>
    <w:p>
      <w:pPr>
        <w:spacing w:after="0" w:line="107"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before income taxes of $33.3 million</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71" w:right="339" w:bottom="1440" w:gutter="0" w:footer="0" w:header="0"/>
          <w:type w:val="continuous"/>
        </w:sectPr>
      </w:pPr>
    </w:p>
    <w:bookmarkStart w:id="4" w:name="page5"/>
    <w:bookmarkEnd w:id="4"/>
    <w:p>
      <w:pPr>
        <w:ind w:left="400" w:hanging="311"/>
        <w:spacing w:after="0"/>
        <w:tabs>
          <w:tab w:leader="none" w:pos="4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$24.6 million or $1.05 basic EPS and $1.05 diluted EPS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Nine Months Ended September 30, 2026 Results and Comparisons to Nine Months Ended September 30, 2025</w:t>
      </w:r>
    </w:p>
    <w:p>
      <w:pPr>
        <w:spacing w:after="0" w:line="98"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Homebuilding revenues of $1,258.8 million, an increase of 2.2%</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home closings of 3,578, including 143 currently and previously leased homes, an increase of 4.4%</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 closings of 3,435, an increase of 1.5%</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sales price per home closed of $366,449, an increase of 0.7%</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Homebuilding gross margin as a percentage of homebuilding revenues of 19.7%</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Homebuilding gross margin excluding inventory impairment* as a percentage of homebuilding revenues of 20.1%</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homebuilding gross margin* as a percentage of homebuilding revenues of 23.4%</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before income taxes of $74.2 million</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$53.7 million or $2.31 basic EPS and $2.31 diluted EPS</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of $57.2 million, or $2.46 adjusted basic EPS* and $2.46 adjusted diluted EPS*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*Please see “</w:t>
      </w:r>
      <w:r>
        <w:rPr>
          <w:rFonts w:ascii="Times New Roman" w:cs="Times New Roman" w:eastAsia="Times New Roman" w:hAnsi="Times New Roman"/>
          <w:sz w:val="20"/>
          <w:szCs w:val="20"/>
          <w:i w:val="1"/>
          <w:iCs w:val="1"/>
          <w:u w:val="single" w:color="auto"/>
          <w:color w:val="0000FF"/>
        </w:rPr>
        <w:t>Non-GAAP Measures</w:t>
      </w:r>
      <w:r>
        <w:rPr>
          <w:rFonts w:ascii="Times New Roman" w:cs="Times New Roman" w:eastAsia="Times New Roman" w:hAnsi="Times New Roman"/>
          <w:sz w:val="20"/>
          <w:szCs w:val="20"/>
          <w:i w:val="1"/>
          <w:iCs w:val="1"/>
          <w:color w:val="auto"/>
        </w:rPr>
        <w:t>” for a reconciliation of Homebuilding Gross Margin Excluding Inventory Impairment (a non-GAAP measure) and Adjusted Homebuilding Gross Margin (a non-GAAP measure) to Homebuilding Gross Margin, and Adjusted Net Income (a non-GAAP measure) to Net Income, the most directly comparable GAAP measures, and for calculations of adjusted basic EPS and adjusted diluted EPS.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Balance Sheet Highlights</w:t>
      </w:r>
    </w:p>
    <w:p>
      <w:pPr>
        <w:spacing w:after="0" w:line="179" w:lineRule="exact"/>
        <w:rPr>
          <w:sz w:val="20"/>
          <w:szCs w:val="20"/>
          <w:color w:val="auto"/>
        </w:rPr>
      </w:pPr>
    </w:p>
    <w:p>
      <w:pPr>
        <w:ind w:left="420" w:hanging="331"/>
        <w:spacing w:after="0" w:line="283" w:lineRule="auto"/>
        <w:tabs>
          <w:tab w:leader="none" w:pos="4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liquidity of $447.7 million at September 30, 2026, including cash and cash equivalents of $69.4 million and $378.3 million of availability under the Company’s revolving credit facility</w:t>
      </w:r>
    </w:p>
    <w:p>
      <w:pPr>
        <w:spacing w:after="0" w:line="2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debt to capital ratio* of 40.6% at September 30, 2026</w:t>
      </w:r>
    </w:p>
    <w:p>
      <w:pPr>
        <w:spacing w:after="0" w:line="1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*Please see “</w:t>
      </w:r>
      <w:r>
        <w:rPr>
          <w:rFonts w:ascii="Times New Roman" w:cs="Times New Roman" w:eastAsia="Times New Roman" w:hAnsi="Times New Roman"/>
          <w:sz w:val="20"/>
          <w:szCs w:val="20"/>
          <w:i w:val="1"/>
          <w:iCs w:val="1"/>
          <w:u w:val="single" w:color="auto"/>
          <w:color w:val="0000FF"/>
        </w:rPr>
        <w:t>Non-GAAP Measures</w:t>
      </w:r>
      <w:r>
        <w:rPr>
          <w:rFonts w:ascii="Times New Roman" w:cs="Times New Roman" w:eastAsia="Times New Roman" w:hAnsi="Times New Roman"/>
          <w:sz w:val="20"/>
          <w:szCs w:val="20"/>
          <w:i w:val="1"/>
          <w:iCs w:val="1"/>
          <w:color w:val="auto"/>
        </w:rPr>
        <w:t>” for a reconciliation of net debt to capital ratio (a non-GAAP measure) to debt to capital ratio, the most directly comparable GAAP measure.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2026 Outlook</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Subject to the caveats in the Forward-Looking Statements section of this press release and the assumptions noted below, the Company is narrowing its home closings outlook for the full year 2026 and reiterating its other outlook items for the full year 2026. Currently, the Company expects for full year 2026:</w:t>
      </w:r>
    </w:p>
    <w:p>
      <w:pPr>
        <w:spacing w:after="0" w:line="100" w:lineRule="exact"/>
        <w:rPr>
          <w:sz w:val="20"/>
          <w:szCs w:val="20"/>
          <w:color w:val="auto"/>
        </w:rPr>
      </w:pPr>
    </w:p>
    <w:p>
      <w:pPr>
        <w:ind w:left="400" w:hanging="311"/>
        <w:spacing w:after="0"/>
        <w:tabs>
          <w:tab w:leader="none" w:pos="4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 closings between 4,600 and 4,800</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Active selling communities at the end of 2026 between 150 and 160</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sales price per home closed between $360,000 and $370,000</w:t>
      </w:r>
    </w:p>
    <w:p>
      <w:pPr>
        <w:spacing w:after="0" w:line="107" w:lineRule="exact"/>
        <w:rPr>
          <w:rFonts w:ascii="Times New Roman" w:cs="Times New Roman" w:eastAsia="Times New Roman" w:hAnsi="Times New Roman"/>
          <w:sz w:val="20"/>
          <w:szCs w:val="20"/>
          <w:color w:val="auto"/>
        </w:rPr>
      </w:pPr>
    </w:p>
    <w:p>
      <w:pPr>
        <w:jc w:val="both"/>
        <w:ind w:left="420" w:hanging="331"/>
        <w:spacing w:after="0" w:line="261" w:lineRule="auto"/>
        <w:tabs>
          <w:tab w:leader="none" w:pos="40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Homebuilding gross margin as a percentage of homebuilding revenues between 19.0% and 21.0%, adjusted for estimated capitalized interest and estimated purchase accounting of approximately 3.5%, which results in adjusted homebuilding gross margin (non-GAAP) as a percentage of homebuilding revenues between 22.5% and 24.5%</w:t>
      </w:r>
    </w:p>
    <w:p>
      <w:pPr>
        <w:spacing w:after="0" w:line="46"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SG&amp;A as a percentage of total revenues between 15.0% and 16.0%</w:t>
      </w:r>
    </w:p>
    <w:p>
      <w:pPr>
        <w:spacing w:after="0" w:line="94" w:lineRule="exact"/>
        <w:rPr>
          <w:rFonts w:ascii="Times New Roman" w:cs="Times New Roman" w:eastAsia="Times New Roman" w:hAnsi="Times New Roman"/>
          <w:sz w:val="20"/>
          <w:szCs w:val="20"/>
          <w:color w:val="auto"/>
        </w:rPr>
      </w:pPr>
    </w:p>
    <w:p>
      <w:pPr>
        <w:ind w:left="400" w:hanging="311"/>
        <w:spacing w:after="0"/>
        <w:tabs>
          <w:tab w:leader="none" w:pos="4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tax rate of approximately 26.5%</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outlook assumes that general economic conditions, including input costs, materials, product and labor availability, interest rates and mortgage availability, in the remainder of 2026 are similar to those experienced to date in 2026 and that construction costs, availability of land and land development costs for the remainder of 2026 are consistent with the Company’s recent experience. In addition, this outlook assumes that governmental regulations relating to land development and home construction are similar to those currently in place and does not</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98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take into account any additional changes to U.S. trade policies, including the imposition of tariffs and duties on homebuilding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Conference Call</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will host a conference call via live webcast for investors and other interested parties beginning at 12:30 p.m. Eastern Time on Tuesday, November 3, 2026 (the “Earnings Call”).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Participants may access the live webcast by visiting the Investor Relations section of the Company’s website at https://investor.lgihomes.com.</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 archive of the Earnings Call webcast will be available for replay on the Company’s website for one year from the date of the Earnings Call.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LGI Homes, Inc.</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Headquartered in The Woodlands, Texas, LGI Homes, Inc. is a pioneer in the homebuilding industry, successfully applying an innovative and systematic approach to the design, construction and sale of homes across 36 markets in 21 states. LGI Homes has closed over 80,000 homes since its founding in 2003 and has delivered profitable financial results every year. Nationally recognized for its quality construction and exceptional customer service, LGI Homes was named to Newsweek’s list of the World’s Most Trustworthy Companies. LGI Homes’ commitment to excellence extends to its employees, earning the Company numerous workplace awards at the local, state, and national level, including the Top Workplaces USA 2026 Award. For more information about LGI Homes and its unique operating model focused on making the dream of homeownership a reality for families across the nation, please visit the Company’s website at www.lgihomes.com.</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Any statements made in this press release or on the Earnings Call that are not statements of historical fact, including statements about the Company’s beliefs, outlook and expectations, are forward-looking statements within the meaning of the federal securities laws, and should be evaluated as such. Forward-looking statements include information concerning expected 2026 home closings, active selling communities, average sales price per home closed, homebuilding gross margin as a percentage of homebuilding revenues, adjusted homebuilding gross margin as a percentage of homebuilding revenues, SG&amp;A as a percentage of total revenues and effective tax rate, as well as market conditions and possible or assumed future results of operations, including descriptions of the Company’s business plan and strategies. These forward-looking statements can be identified by the use of forward-looking terminology, including the terms “anticipate,” “believe,” “continue,” “could,” “estimate,” “expect,” “forecast,” “goal,” “intend,” “may,” “objective,” “plan,” “potential,” “predict,” “projection,” “should,” “will” or, in each case, their negative, or other variations or comparable terminology. For more information concerning factors that could cause actual results to differ materially from those contained in the forward-looking statements please refer to the “Risk Factors” section in the Company’s Annual Report on Form 10-K for the fiscal year ended December 31, 2025, including the “Cautionary Statement about Forward-Looking Statements” subsection within the “Risk Factors” section, and subsequent filings by the Company with the U.S. Securities and Exchange Commission (the “SEC”), including the “Risk Factors” and “Cautionary Statement about Forward-Looking Statements” sections in the Company’s Quarterly Report on Form 10-Q for the quarters ended March 31, 2026, June 30, 2026, and September 30, 2026 (when it is filed with the SEC). The Company bases these forward-looking statements or outlook on its current expectations, plans and assumptions that it has made in light of its experience in the industry, as well as its perceptions of historical trends, current conditions, expected future developments and other factors it believes are appropriate under the circumstances and at such time. As you read and consider this press release or listen to the Earnings Call, you should understand that these statements are not guarantees of future performance or results. The forward-looking statements, including the Company’s 2026 outlook, are subject to and involve risks, uncertainties and assumptions and you should not place undue reliance on these forward-looking statements or outlook. Although the Company believes that these forward-looking statements and outlook are based on reasonable assumptions at the time they are made, you should be aware that many factors could affect the Company’s actual results to differ materially from those expressed in the forward-looking statements and outlook. The Company undertakes no obligation to update or revise any forward-looking statements, whether as a result of new information, future events or otherwise, except as required by law. If the Company does update one or more forward-looking statements, there should be no inference that it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9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LGI HOMES,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61,247</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0" w:type="dxa"/>
            <w:vAlign w:val="bottom"/>
          </w:tcPr>
          <w:p>
            <w:pPr>
              <w:spacing w:after="0"/>
              <w:rPr>
                <w:sz w:val="1"/>
                <w:szCs w:val="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inventory</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3,487,271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3,555,602</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Pre-acquisition costs and deposits</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0" w:type="dxa"/>
            <w:vAlign w:val="bottom"/>
          </w:tcPr>
          <w:p>
            <w:pPr>
              <w:spacing w:after="0"/>
              <w:rPr>
                <w:sz w:val="1"/>
                <w:szCs w:val="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107,145</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119,909</w:t>
            </w:r>
          </w:p>
        </w:tc>
        <w:tc>
          <w:tcPr>
            <w:tcW w:w="0" w:type="dxa"/>
            <w:vAlign w:val="bottom"/>
          </w:tcPr>
          <w:p>
            <w:pPr>
              <w:spacing w:after="0"/>
              <w:rPr>
                <w:sz w:val="1"/>
                <w:szCs w:val="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0" w:type="dxa"/>
            <w:vAlign w:val="bottom"/>
          </w:tcPr>
          <w:p>
            <w:pPr>
              <w:spacing w:after="0"/>
              <w:rPr>
                <w:sz w:val="1"/>
                <w:szCs w:val="1"/>
                <w:color w:val="auto"/>
              </w:rPr>
            </w:pPr>
          </w:p>
        </w:tc>
      </w:tr>
      <w:tr>
        <w:trPr>
          <w:trHeight w:val="20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3,936,449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3,927,242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157,971</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Notes payable, net</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1,544,466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1,656,803</w:t>
            </w:r>
          </w:p>
        </w:tc>
        <w:tc>
          <w:tcPr>
            <w:tcW w:w="0" w:type="dxa"/>
            <w:vAlign w:val="bottom"/>
          </w:tcPr>
          <w:p>
            <w:pPr>
              <w:spacing w:after="0"/>
              <w:rPr>
                <w:sz w:val="1"/>
                <w:szCs w:val="1"/>
                <w:color w:val="auto"/>
              </w:rPr>
            </w:pPr>
          </w:p>
        </w:tc>
      </w:tr>
      <w:tr>
        <w:trPr>
          <w:trHeight w:val="237"/>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1,776,023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1,830,953</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Common stock, par value $0.01, 250,000,000 shares authorized, 27,926,950 shares issued and</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6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23,270,358 shares outstanding as of September 30, 2026 and 27,789,678 shares issued and</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23,133,086 shares outstanding as of December 31, 2025</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357,690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347,308</w:t>
            </w:r>
          </w:p>
        </w:tc>
        <w:tc>
          <w:tcPr>
            <w:tcW w:w="0" w:type="dxa"/>
            <w:vAlign w:val="bottom"/>
          </w:tcPr>
          <w:p>
            <w:pPr>
              <w:spacing w:after="0"/>
              <w:rPr>
                <w:sz w:val="1"/>
                <w:szCs w:val="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2,158,339</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4,656,592 shares as of September 30, 2026 and December 31, 2025</w:t>
            </w: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(409,582)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(409,635)</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2,160,426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2,096,289</w:t>
            </w:r>
          </w:p>
        </w:tc>
        <w:tc>
          <w:tcPr>
            <w:tcW w:w="0" w:type="dxa"/>
            <w:vAlign w:val="bottom"/>
          </w:tcPr>
          <w:p>
            <w:pPr>
              <w:spacing w:after="0"/>
              <w:rPr>
                <w:sz w:val="1"/>
                <w:szCs w:val="1"/>
                <w:color w:val="auto"/>
              </w:rPr>
            </w:pPr>
          </w:p>
        </w:tc>
      </w:tr>
      <w:tr>
        <w:trPr>
          <w:trHeight w:val="261"/>
        </w:trPr>
        <w:tc>
          <w:tcPr>
            <w:tcW w:w="7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3,936,449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3,927,242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7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LGI HOMES,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Homebuilding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396,632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1,258,754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1,231,537</w:t>
            </w:r>
          </w:p>
        </w:tc>
      </w:tr>
      <w:tr>
        <w:trPr>
          <w:trHeight w:val="24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and other revenues</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43,594</w:t>
            </w:r>
          </w:p>
        </w:tc>
      </w:tr>
      <w:tr>
        <w:trPr>
          <w:trHeight w:val="237"/>
        </w:trPr>
        <w:tc>
          <w:tcPr>
            <w:tcW w:w="4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444,464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403,501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1,293,388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1,275,131</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Homebuilding costs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962,104</w:t>
            </w:r>
          </w:p>
        </w:tc>
      </w:tr>
      <w:tr>
        <w:trPr>
          <w:trHeight w:val="24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and other costs</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37,441</w:t>
            </w:r>
          </w:p>
        </w:tc>
      </w:tr>
      <w:tr>
        <w:trPr>
          <w:trHeight w:val="237"/>
        </w:trPr>
        <w:tc>
          <w:tcPr>
            <w:tcW w:w="4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355,280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316,232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1,041,379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999,545</w:t>
            </w:r>
          </w:p>
        </w:tc>
      </w:tr>
      <w:tr>
        <w:trPr>
          <w:trHeight w:val="23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119,602</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88,570</w:t>
            </w: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74,465</w:t>
            </w: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55,231</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70"/>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23,210,620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23,223,736</w:t>
            </w:r>
          </w:p>
        </w:tc>
      </w:tr>
      <w:tr>
        <w:trPr>
          <w:trHeight w:val="243"/>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23,466,066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23,149,005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23,281,055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23,289,280</w:t>
            </w:r>
          </w:p>
        </w:tc>
      </w:tr>
    </w:tbl>
    <w:p>
      <w:pPr>
        <w:spacing w:after="0" w:line="230" w:lineRule="exact"/>
        <w:rPr>
          <w:sz w:val="20"/>
          <w:szCs w:val="20"/>
          <w:color w:val="auto"/>
        </w:rPr>
      </w:pPr>
    </w:p>
    <w:p>
      <w:pPr>
        <w:ind w:right="760"/>
        <w:spacing w:after="0" w:line="256" w:lineRule="auto"/>
        <w:rPr>
          <w:sz w:val="20"/>
          <w:szCs w:val="20"/>
          <w:color w:val="auto"/>
        </w:rPr>
      </w:pPr>
      <w:r>
        <w:rPr>
          <w:rFonts w:ascii="Times New Roman" w:cs="Times New Roman" w:eastAsia="Times New Roman" w:hAnsi="Times New Roman"/>
          <w:sz w:val="20"/>
          <w:szCs w:val="20"/>
          <w:b w:val="1"/>
          <w:bCs w:val="1"/>
          <w:color w:val="auto"/>
        </w:rPr>
        <w:t>Homebuilding Revenues, Home Closings, Average Sales Price Per Home Closed (ASP), Average Community Count, Average Monthly Absorption Rate, and Ending Community Count by Reportable Segment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 in thousands,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60" w:type="dxa"/>
            <w:vAlign w:val="bottom"/>
            <w:gridSpan w:val="7"/>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w:t>
            </w: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7"/>
            <w:vMerge w:val="continue"/>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30, 2026</w:t>
            </w: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Homebuilding</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Monthly</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Community Count</w:t>
            </w:r>
          </w:p>
        </w:tc>
        <w:tc>
          <w:tcPr>
            <w:tcW w:w="0" w:type="dxa"/>
            <w:vAlign w:val="bottom"/>
          </w:tcPr>
          <w:p>
            <w:pPr>
              <w:spacing w:after="0"/>
              <w:rPr>
                <w:sz w:val="1"/>
                <w:szCs w:val="1"/>
                <w:color w:val="auto"/>
              </w:rPr>
            </w:pPr>
          </w:p>
        </w:tc>
      </w:tr>
      <w:tr>
        <w:trPr>
          <w:trHeight w:val="184"/>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Home Closings</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ASP</w:t>
            </w:r>
          </w:p>
        </w:tc>
        <w:tc>
          <w:tcPr>
            <w:tcW w:w="100" w:type="dxa"/>
            <w:vAlign w:val="bottom"/>
            <w:vMerge w:val="restart"/>
          </w:tcPr>
          <w:p>
            <w:pPr>
              <w:spacing w:after="0"/>
              <w:rPr>
                <w:sz w:val="16"/>
                <w:szCs w:val="16"/>
                <w:color w:val="auto"/>
              </w:rPr>
            </w:pPr>
          </w:p>
        </w:tc>
        <w:tc>
          <w:tcPr>
            <w:tcW w:w="15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Community</w:t>
            </w:r>
          </w:p>
        </w:tc>
        <w:tc>
          <w:tcPr>
            <w:tcW w:w="15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Absorption Rate</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End of Period</w:t>
            </w:r>
          </w:p>
        </w:tc>
        <w:tc>
          <w:tcPr>
            <w:tcW w:w="0" w:type="dxa"/>
            <w:vAlign w:val="bottom"/>
          </w:tcPr>
          <w:p>
            <w:pPr>
              <w:spacing w:after="0"/>
              <w:rPr>
                <w:sz w:val="1"/>
                <w:szCs w:val="1"/>
                <w:color w:val="auto"/>
              </w:rPr>
            </w:pPr>
          </w:p>
        </w:tc>
      </w:tr>
      <w:tr>
        <w:trPr>
          <w:trHeight w:val="236"/>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Central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103,495</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302,617</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Southeast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109,238</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326,084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Northwest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60,125</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522,826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108,581</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454,314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56,068</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354,861</w:t>
            </w:r>
          </w:p>
        </w:tc>
        <w:tc>
          <w:tcPr>
            <w:tcW w:w="10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437,507</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367,962</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3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7"/>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gridSpan w:val="7"/>
            <w:vMerge w:val="continue"/>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Homebuilding</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Monthly</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Community Count</w:t>
            </w:r>
          </w:p>
        </w:tc>
        <w:tc>
          <w:tcPr>
            <w:tcW w:w="0" w:type="dxa"/>
            <w:vAlign w:val="bottom"/>
          </w:tcPr>
          <w:p>
            <w:pPr>
              <w:spacing w:after="0"/>
              <w:rPr>
                <w:sz w:val="1"/>
                <w:szCs w:val="1"/>
                <w:color w:val="auto"/>
              </w:rPr>
            </w:pPr>
          </w:p>
        </w:tc>
      </w:tr>
      <w:tr>
        <w:trPr>
          <w:trHeight w:val="176"/>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Home Closings</w:t>
            </w:r>
          </w:p>
        </w:tc>
        <w:tc>
          <w:tcPr>
            <w:tcW w:w="10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ASP</w:t>
            </w:r>
          </w:p>
        </w:tc>
        <w:tc>
          <w:tcPr>
            <w:tcW w:w="100" w:type="dxa"/>
            <w:vAlign w:val="bottom"/>
            <w:vMerge w:val="restart"/>
          </w:tcPr>
          <w:p>
            <w:pPr>
              <w:spacing w:after="0"/>
              <w:rPr>
                <w:sz w:val="15"/>
                <w:szCs w:val="15"/>
                <w:color w:val="auto"/>
              </w:rPr>
            </w:pPr>
          </w:p>
        </w:tc>
        <w:tc>
          <w:tcPr>
            <w:tcW w:w="15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Community</w:t>
            </w:r>
          </w:p>
        </w:tc>
        <w:tc>
          <w:tcPr>
            <w:tcW w:w="154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Absorption Rate</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End of Period</w:t>
            </w:r>
          </w:p>
        </w:tc>
        <w:tc>
          <w:tcPr>
            <w:tcW w:w="0" w:type="dxa"/>
            <w:vAlign w:val="bottom"/>
          </w:tcPr>
          <w:p>
            <w:pPr>
              <w:spacing w:after="0"/>
              <w:rPr>
                <w:sz w:val="1"/>
                <w:szCs w:val="1"/>
                <w:color w:val="auto"/>
              </w:rPr>
            </w:pPr>
          </w:p>
        </w:tc>
      </w:tr>
      <w:tr>
        <w:trPr>
          <w:trHeight w:val="236"/>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Central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99,355</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323,632</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Southeast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101,419</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339,194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Northwest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49,408</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453,284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91,699</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451,719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54,751</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372,456</w:t>
            </w:r>
          </w:p>
        </w:tc>
        <w:tc>
          <w:tcPr>
            <w:tcW w:w="10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396,632</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372,424</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Homebuilding Revenues, Home Closings, Average Sales Price Per Home Closed (ASP), Average Community Count, Average Monthly Absorption Rate, and Ending Community Count by Reportable Segment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 in thousands,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7"/>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w:t>
            </w: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7"/>
            <w:vMerge w:val="continue"/>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30, 2026</w:t>
            </w: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Homebuilding</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Monthly</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Community Count</w:t>
            </w:r>
          </w:p>
        </w:tc>
        <w:tc>
          <w:tcPr>
            <w:tcW w:w="0" w:type="dxa"/>
            <w:vAlign w:val="bottom"/>
          </w:tcPr>
          <w:p>
            <w:pPr>
              <w:spacing w:after="0"/>
              <w:rPr>
                <w:sz w:val="1"/>
                <w:szCs w:val="1"/>
                <w:color w:val="auto"/>
              </w:rPr>
            </w:pPr>
          </w:p>
        </w:tc>
      </w:tr>
      <w:tr>
        <w:trPr>
          <w:trHeight w:val="184"/>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Home Closings</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ASP</w:t>
            </w:r>
          </w:p>
        </w:tc>
        <w:tc>
          <w:tcPr>
            <w:tcW w:w="100" w:type="dxa"/>
            <w:vAlign w:val="bottom"/>
            <w:vMerge w:val="restart"/>
          </w:tcPr>
          <w:p>
            <w:pPr>
              <w:spacing w:after="0"/>
              <w:rPr>
                <w:sz w:val="16"/>
                <w:szCs w:val="16"/>
                <w:color w:val="auto"/>
              </w:rPr>
            </w:pPr>
          </w:p>
        </w:tc>
        <w:tc>
          <w:tcPr>
            <w:tcW w:w="15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Community</w:t>
            </w:r>
          </w:p>
        </w:tc>
        <w:tc>
          <w:tcPr>
            <w:tcW w:w="15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Absorption Rate</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End of Period</w:t>
            </w:r>
          </w:p>
        </w:tc>
        <w:tc>
          <w:tcPr>
            <w:tcW w:w="0" w:type="dxa"/>
            <w:vAlign w:val="bottom"/>
          </w:tcPr>
          <w:p>
            <w:pPr>
              <w:spacing w:after="0"/>
              <w:rPr>
                <w:sz w:val="1"/>
                <w:szCs w:val="1"/>
                <w:color w:val="auto"/>
              </w:rPr>
            </w:pPr>
          </w:p>
        </w:tc>
      </w:tr>
      <w:tr>
        <w:trPr>
          <w:trHeight w:val="237"/>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Central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320,432</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303,152</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Southeast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289,706</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330,338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Northwest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156,736</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518,993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319,040</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449,352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172,840</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353,456</w:t>
            </w:r>
          </w:p>
        </w:tc>
        <w:tc>
          <w:tcPr>
            <w:tcW w:w="10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1,258,754</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366,449</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gridSpan w:val="7"/>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gridSpan w:val="7"/>
            <w:vMerge w:val="continue"/>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Homebuilding</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Monthly</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Community Count</w:t>
            </w:r>
          </w:p>
        </w:tc>
        <w:tc>
          <w:tcPr>
            <w:tcW w:w="0" w:type="dxa"/>
            <w:vAlign w:val="bottom"/>
          </w:tcPr>
          <w:p>
            <w:pPr>
              <w:spacing w:after="0"/>
              <w:rPr>
                <w:sz w:val="1"/>
                <w:szCs w:val="1"/>
                <w:color w:val="auto"/>
              </w:rPr>
            </w:pPr>
          </w:p>
        </w:tc>
      </w:tr>
      <w:tr>
        <w:trPr>
          <w:trHeight w:val="175"/>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Home Closings</w:t>
            </w:r>
          </w:p>
        </w:tc>
        <w:tc>
          <w:tcPr>
            <w:tcW w:w="10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ASP</w:t>
            </w:r>
          </w:p>
        </w:tc>
        <w:tc>
          <w:tcPr>
            <w:tcW w:w="100" w:type="dxa"/>
            <w:vAlign w:val="bottom"/>
            <w:vMerge w:val="restart"/>
          </w:tcPr>
          <w:p>
            <w:pPr>
              <w:spacing w:after="0"/>
              <w:rPr>
                <w:sz w:val="15"/>
                <w:szCs w:val="15"/>
                <w:color w:val="auto"/>
              </w:rPr>
            </w:pPr>
          </w:p>
        </w:tc>
        <w:tc>
          <w:tcPr>
            <w:tcW w:w="15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Community</w:t>
            </w:r>
          </w:p>
        </w:tc>
        <w:tc>
          <w:tcPr>
            <w:tcW w:w="154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Absorption Rate</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End of Period</w:t>
            </w:r>
          </w:p>
        </w:tc>
        <w:tc>
          <w:tcPr>
            <w:tcW w:w="0" w:type="dxa"/>
            <w:vAlign w:val="bottom"/>
          </w:tcPr>
          <w:p>
            <w:pPr>
              <w:spacing w:after="0"/>
              <w:rPr>
                <w:sz w:val="1"/>
                <w:szCs w:val="1"/>
                <w:color w:val="auto"/>
              </w:rPr>
            </w:pPr>
          </w:p>
        </w:tc>
      </w:tr>
      <w:tr>
        <w:trPr>
          <w:trHeight w:val="237"/>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Central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313,487</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314,430</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Southeast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353,211</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331,032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Northwest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137,132</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500,482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258,994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437,490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168,713</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371,615</w:t>
            </w:r>
          </w:p>
        </w:tc>
        <w:tc>
          <w:tcPr>
            <w:tcW w:w="10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1,231,537</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363,929</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Owned and Controlled Lots</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table below shows (i) home closings by reportable segment for the nine months ended September 30, 2026 and (ii) the Company’s owned or controlled lots by reportable segment as of September 30, 2026.</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7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800" w:type="dxa"/>
            <w:vAlign w:val="bottom"/>
          </w:tcPr>
          <w:p>
            <w:pPr>
              <w:spacing w:after="0"/>
              <w:rPr>
                <w:sz w:val="17"/>
                <w:szCs w:val="17"/>
                <w:color w:val="auto"/>
              </w:rPr>
            </w:pPr>
          </w:p>
        </w:tc>
        <w:tc>
          <w:tcPr>
            <w:tcW w:w="2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8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w:t>
            </w:r>
          </w:p>
        </w:tc>
        <w:tc>
          <w:tcPr>
            <w:tcW w:w="10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Home Closings</w:t>
            </w: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xml:space="preserve">Owned </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Controlled</w:t>
            </w: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Central</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Southeast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Northwest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Florida</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20" w:type="dxa"/>
            <w:vAlign w:val="bottom"/>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80" w:hanging="329"/>
        <w:spacing w:after="0" w:line="280"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50,270 owned lots as of September 30, 2026, 34,119 were raw/under development lots and 16,151 were finished lots. Finished lots included 2,147 completed homes, including information centers, and 1,626 homes in progress.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 Data</w:t>
      </w:r>
    </w:p>
    <w:p>
      <w:pPr>
        <w:spacing w:after="0" w:line="12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As of the dates set forth below, the Company’s net orders, cancellation rate and ending backlog homes and value were as follows (dollars in thousands, 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Backlog Data</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2026 </w:t>
            </w:r>
            <w:r>
              <w:rPr>
                <w:rFonts w:ascii="Times New Roman" w:cs="Times New Roman" w:eastAsia="Times New Roman" w:hAnsi="Times New Roman"/>
                <w:sz w:val="23"/>
                <w:szCs w:val="23"/>
                <w:b w:val="1"/>
                <w:bCs w:val="1"/>
                <w:color w:val="auto"/>
                <w:vertAlign w:val="superscript"/>
              </w:rPr>
              <w:t>(4)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23"/>
                <w:szCs w:val="23"/>
                <w:b w:val="1"/>
                <w:bCs w:val="1"/>
                <w:color w:val="auto"/>
                <w:vertAlign w:val="superscript"/>
              </w:rPr>
              <w:t>(5)</w:t>
            </w:r>
          </w:p>
        </w:tc>
      </w:tr>
      <w:tr>
        <w:trPr>
          <w:trHeight w:val="237"/>
        </w:trPr>
        <w:tc>
          <w:tcPr>
            <w:tcW w:w="740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Net orders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4,098</w:t>
            </w:r>
          </w:p>
        </w:tc>
      </w:tr>
      <w:tr>
        <w:trPr>
          <w:trHeight w:val="243"/>
        </w:trPr>
        <w:tc>
          <w:tcPr>
            <w:tcW w:w="74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Cancellation rate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43"/>
        </w:trPr>
        <w:tc>
          <w:tcPr>
            <w:tcW w:w="74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Ending backlog – homes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1,305</w:t>
            </w:r>
          </w:p>
        </w:tc>
      </w:tr>
      <w:tr>
        <w:trPr>
          <w:trHeight w:val="325"/>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Ending backlog – value </w:t>
            </w:r>
            <w:r>
              <w:rPr>
                <w:rFonts w:ascii="Times New Roman" w:cs="Times New Roman" w:eastAsia="Times New Roman" w:hAnsi="Times New Roman"/>
                <w:sz w:val="23"/>
                <w:szCs w:val="23"/>
                <w:color w:val="auto"/>
                <w:vertAlign w:val="superscript"/>
              </w:rPr>
              <w:t>(3)</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273,711</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498,713</w:t>
            </w:r>
          </w:p>
        </w:tc>
      </w:tr>
    </w:tbl>
    <w:p>
      <w:pPr>
        <w:spacing w:after="0" w:line="106" w:lineRule="exact"/>
        <w:rPr>
          <w:sz w:val="20"/>
          <w:szCs w:val="20"/>
          <w:color w:val="auto"/>
        </w:rPr>
      </w:pPr>
    </w:p>
    <w:p>
      <w:pPr>
        <w:ind w:left="580" w:hanging="329"/>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orders are new (gross) orders for the purchase of homes during the period, less cancellations of existing purchase contracts during the period.</w:t>
      </w:r>
    </w:p>
    <w:p>
      <w:pPr>
        <w:spacing w:after="0" w:line="113" w:lineRule="exact"/>
        <w:rPr>
          <w:rFonts w:ascii="Times New Roman" w:cs="Times New Roman" w:eastAsia="Times New Roman" w:hAnsi="Times New Roman"/>
          <w:sz w:val="16"/>
          <w:szCs w:val="16"/>
          <w:color w:val="auto"/>
        </w:rPr>
      </w:pPr>
    </w:p>
    <w:p>
      <w:pPr>
        <w:ind w:left="580" w:right="20" w:hanging="329"/>
        <w:spacing w:after="0" w:line="298"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Cancellation rate for a period is the total number of purchase contracts cancelled during the period divided by the total new (gross) orders for the purchase of homes during the period.</w:t>
      </w:r>
    </w:p>
    <w:p>
      <w:pPr>
        <w:spacing w:after="0" w:line="42" w:lineRule="exact"/>
        <w:rPr>
          <w:rFonts w:ascii="Times New Roman" w:cs="Times New Roman" w:eastAsia="Times New Roman" w:hAnsi="Times New Roman"/>
          <w:sz w:val="16"/>
          <w:szCs w:val="16"/>
          <w:color w:val="auto"/>
        </w:rPr>
      </w:pPr>
    </w:p>
    <w:p>
      <w:pPr>
        <w:ind w:left="580" w:right="20" w:hanging="329"/>
        <w:spacing w:after="0" w:line="280"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Ending backlog consists of retail homes at the end of the period that are under a purchase contract that has been signed by homebuyers who have met preliminary financing criteria but have not yet closed and wholesale contracts with varying terms. Ending backlog is valued at the contract amount.</w:t>
      </w:r>
    </w:p>
    <w:p>
      <w:pPr>
        <w:spacing w:after="0" w:line="70" w:lineRule="exact"/>
        <w:rPr>
          <w:rFonts w:ascii="Times New Roman" w:cs="Times New Roman" w:eastAsia="Times New Roman" w:hAnsi="Times New Roman"/>
          <w:sz w:val="16"/>
          <w:szCs w:val="16"/>
          <w:color w:val="auto"/>
        </w:rPr>
      </w:pPr>
    </w:p>
    <w:p>
      <w:pPr>
        <w:ind w:left="580" w:hanging="329"/>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2026, the Company had 85 units related to bulk sales agreements associated with its wholesale business.</w:t>
      </w:r>
    </w:p>
    <w:p>
      <w:pPr>
        <w:spacing w:after="0" w:line="113" w:lineRule="exact"/>
        <w:rPr>
          <w:rFonts w:ascii="Times New Roman" w:cs="Times New Roman" w:eastAsia="Times New Roman" w:hAnsi="Times New Roman"/>
          <w:sz w:val="16"/>
          <w:szCs w:val="16"/>
          <w:color w:val="auto"/>
        </w:rPr>
      </w:pPr>
    </w:p>
    <w:p>
      <w:pPr>
        <w:ind w:left="580" w:hanging="329"/>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2025, the Company had 60 units related to bulk sales agreements associated with its wholesale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to the results reported in accordance with accounting principles generally accepted in the United States (“GAAP”), the Company has provided information in this press release relating to adjusted net income, adjusted basic earnings per share, adjusted diluted earnings per share, homebuilding gross margin excluding inventory impairment, adjusted homebuilding gross margin, and net debt to capital ratio.</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 Adjusted Basic Earnings per Share, and Adjusted Diluted Earnings per Share</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Adjusted net income, adjusted basic earnings per share, and adjusted diluted earnings per share are non-GAAP financial measures used by management as supplemental measures in evaluating operating performance. The Company defines adjusted net income as net income less inventory impairment charges. The Company defines adjusted basic earnings per share as adjusted net income divided by weighted average basic shares outstanding. The Company defines adjusted diluted earnings per share as adjusted net income divided by weighted average diluted shares outstanding. Management believes that the presentation of adjusted net income, adjusted basic earnings per share, and adjusted diluted earnings per share provides useful information to investors because such measures isolate the impact that inventory impairment charges have on net income and earnings per share. However, because adjusted net income, adjusted basic earnings per share, and adjusted diluted earnings per share exclude the inventory impairment charge, which has real economic effects and could impact the Company’s results, the utility of adjusted net income, adjusted basic earnings per share, and adjusted diluted earnings per share as measures of the Company’s operating performance may be limited. In addition, other companies may not calculate adjusted net income, adjusted basic earnings per share, and adjusted diluted earnings per share in the same manner that the Company does. Accordingly, adjusted net income, adjusted basic earnings per share, and adjusted diluted earnings per share should be considered only as supplements to net income, basic earnings per share, and diluted earnings per share, respectively, as measures of the Company’s performance.</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The following table reconciles adjusted net income to net income, which is the GAAP financial measure that management believes to be most directly comparable, and adjusted basic earnings per share and adjusted diluted earnings per share are calculated by dividing adjusted net income by basic or diluted weighted average shares outstanding, respectively (dollars in thousands, except earnings per share,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31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4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55,231</w:t>
            </w: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23,331,728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23,223,736</w:t>
            </w: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23,466,066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23,149,005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23,289,280</w:t>
            </w: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31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4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55,231</w:t>
            </w: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impairment</w:t>
            </w:r>
          </w:p>
        </w:tc>
        <w:tc>
          <w:tcPr>
            <w:tcW w:w="20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due to above reconciling item</w:t>
            </w: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24,556</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57,156</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55,231</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23,331,728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23,223,736</w:t>
            </w: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basic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23,466,066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23,149,005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23,289,280</w:t>
            </w: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Homebuilding Gross Margin Excluding Inventory Impairment and Adjusted Homebuilding Gross Margin</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Homebuilding gross margin excluding inventory impairment and adjusted homebuilding gross margin are non-GAAP financial measures used by management as supplemental measures in evaluating operating performance. The Company defines homebuilding gross margin excluding inventory impairment as homebuilding gross margin less inventory impairment charges. The Company defines adjusted homebuilding gross margin as homebuilding gross margin excluding inventory impairment, less capitalized interest and adjustments resulting from the application of purchase accounting included in the cost of sales. Management believes homebuilding gross margin excluding inventory impairment and adjusted homebuilding gross margin are useful because they isolate the impact that capitalized interest, purchase accounting adjustments, and inventory impairment (as applicable) have on homebuilding gross margin. However, because homebuilding gross margin excluding inventory impairment and adjusted homebuilding gross margin exclude capitalized interest, purchase accounting adjustments, and inventory impairment (as applicable), which have real economic effects and could impact the Company’s results, the utility of homebuilding gross margin excluding inventory impairment and adjusted homebuilding gross margin as measures of the Company’s operating performance may be limited. In addition, other companies may not calculate homebuilding gross margin excluding inventory impairment and adjusted homebuilding gross margin in the same manner that the Company does. Accordingly, homebuilding gross margin excluding inventory impairment and adjusted homebuilding gross margin should be considered only as supplements to homebuilding gross margin as a measure of the Company’s performance.</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table reconciles homebuilding gross margin excluding inventory impairment and adjusted homebuilding gross margin to homebuilding gross margin (homebuilding revenues less homebuilding costs), which is the GAAP financial measure that management believes to be most directly comparable (dollars in thousands, unaudited):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4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Homebuilding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437,507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396,632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1,258,754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1,231,537</w:t>
            </w:r>
          </w:p>
        </w:tc>
      </w:tr>
      <w:tr>
        <w:trPr>
          <w:trHeight w:val="24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Homebuilding costs</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349,018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311,520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1,010,942</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962,104</w:t>
            </w:r>
          </w:p>
        </w:tc>
      </w:tr>
      <w:tr>
        <w:trPr>
          <w:trHeight w:val="23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Homebuilding gross margin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88,489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85,112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247,812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269,433</w:t>
            </w:r>
          </w:p>
        </w:tc>
      </w:tr>
      <w:tr>
        <w:trPr>
          <w:trHeight w:val="24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impairment</w:t>
            </w:r>
          </w:p>
        </w:tc>
        <w:tc>
          <w:tcPr>
            <w:tcW w:w="24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4,681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69"/>
        </w:trPr>
        <w:tc>
          <w:tcPr>
            <w:tcW w:w="41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Homebuilding gross margin excluding inventory</w:t>
            </w:r>
          </w:p>
        </w:tc>
        <w:tc>
          <w:tcPr>
            <w:tcW w:w="2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88,489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85,112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252,493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269,433</w:t>
            </w:r>
          </w:p>
        </w:tc>
      </w:tr>
      <w:tr>
        <w:trPr>
          <w:trHeight w:val="24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interest amortized to cost of sales</w:t>
            </w:r>
          </w:p>
        </w:tc>
        <w:tc>
          <w:tcPr>
            <w:tcW w:w="24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41,171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31,107</w:t>
            </w:r>
          </w:p>
        </w:tc>
      </w:tr>
      <w:tr>
        <w:trPr>
          <w:trHeight w:val="243"/>
        </w:trPr>
        <w:tc>
          <w:tcPr>
            <w:tcW w:w="41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Purchase accounting adjustments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2,850</w:t>
            </w: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homebuilding gross margin</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103,661</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97,115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295,046</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303,390</w:t>
            </w:r>
          </w:p>
        </w:tc>
      </w:tr>
      <w:tr>
        <w:trPr>
          <w:trHeight w:val="21"/>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2"/>
        </w:trPr>
        <w:tc>
          <w:tcPr>
            <w:tcW w:w="4500" w:type="dxa"/>
            <w:vAlign w:val="bottom"/>
          </w:tcPr>
          <w:p>
            <w:pPr>
              <w:ind w:left="20"/>
              <w:spacing w:after="0" w:line="252" w:lineRule="exact"/>
              <w:rPr>
                <w:sz w:val="20"/>
                <w:szCs w:val="20"/>
                <w:color w:val="auto"/>
              </w:rPr>
            </w:pPr>
            <w:r>
              <w:rPr>
                <w:rFonts w:ascii="Times New Roman" w:cs="Times New Roman" w:eastAsia="Times New Roman" w:hAnsi="Times New Roman"/>
                <w:sz w:val="18"/>
                <w:szCs w:val="18"/>
                <w:color w:val="auto"/>
              </w:rPr>
              <w:t xml:space="preserve">Homebuilding gross margin % </w:t>
            </w:r>
            <w:r>
              <w:rPr>
                <w:rFonts w:ascii="Times New Roman" w:cs="Times New Roman" w:eastAsia="Times New Roman" w:hAnsi="Times New Roman"/>
                <w:sz w:val="23"/>
                <w:szCs w:val="23"/>
                <w:color w:val="auto"/>
                <w:vertAlign w:val="superscript"/>
              </w:rPr>
              <w:t>(2)</w:t>
            </w:r>
          </w:p>
        </w:tc>
        <w:tc>
          <w:tcPr>
            <w:tcW w:w="1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20.2 %</w:t>
            </w: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21.5 %</w:t>
            </w:r>
          </w:p>
        </w:tc>
        <w:tc>
          <w:tcPr>
            <w:tcW w:w="18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19.7 %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180"/>
        </w:trPr>
        <w:tc>
          <w:tcPr>
            <w:tcW w:w="4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Homebuilding gross margin % excluding inventory</w:t>
            </w:r>
          </w:p>
        </w:tc>
        <w:tc>
          <w:tcPr>
            <w:tcW w:w="1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4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3"/>
                <w:szCs w:val="23"/>
                <w:color w:val="auto"/>
                <w:vertAlign w:val="superscript"/>
              </w:rPr>
              <w:t>(2)</w:t>
            </w:r>
          </w:p>
        </w:tc>
        <w:tc>
          <w:tcPr>
            <w:tcW w:w="1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20.2 %</w:t>
            </w: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21.5 %</w:t>
            </w:r>
          </w:p>
        </w:tc>
        <w:tc>
          <w:tcPr>
            <w:tcW w:w="18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43"/>
        </w:trPr>
        <w:tc>
          <w:tcPr>
            <w:tcW w:w="45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homebuilding gross margin % </w:t>
            </w:r>
            <w:r>
              <w:rPr>
                <w:rFonts w:ascii="Times New Roman" w:cs="Times New Roman" w:eastAsia="Times New Roman" w:hAnsi="Times New Roman"/>
                <w:sz w:val="23"/>
                <w:szCs w:val="23"/>
                <w:color w:val="auto"/>
                <w:vertAlign w:val="superscript"/>
              </w:rPr>
              <w:t>(2)</w:t>
            </w:r>
          </w:p>
        </w:tc>
        <w:tc>
          <w:tcPr>
            <w:tcW w:w="19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23.7 %</w:t>
            </w:r>
          </w:p>
        </w:tc>
        <w:tc>
          <w:tcPr>
            <w:tcW w:w="1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24.5 %</w:t>
            </w:r>
          </w:p>
        </w:tc>
        <w:tc>
          <w:tcPr>
            <w:tcW w:w="18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23.4 %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r>
    </w:tbl>
    <w:p>
      <w:pPr>
        <w:spacing w:after="0" w:line="189" w:lineRule="exact"/>
        <w:rPr>
          <w:sz w:val="20"/>
          <w:szCs w:val="20"/>
          <w:color w:val="auto"/>
        </w:rPr>
      </w:pPr>
    </w:p>
    <w:p>
      <w:pPr>
        <w:ind w:left="580" w:right="20" w:hanging="329"/>
        <w:spacing w:after="0" w:line="280"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result from the application of purchase accounting for acquisitions and represent the amount of the fair value step-up adjustments included in cost of sales for real estate inventory sold after the acquisition dates.</w:t>
      </w:r>
    </w:p>
    <w:p>
      <w:pPr>
        <w:spacing w:after="0" w:line="56" w:lineRule="exact"/>
        <w:rPr>
          <w:rFonts w:ascii="Times New Roman" w:cs="Times New Roman" w:eastAsia="Times New Roman" w:hAnsi="Times New Roman"/>
          <w:sz w:val="16"/>
          <w:szCs w:val="16"/>
          <w:color w:val="auto"/>
        </w:rPr>
      </w:pPr>
    </w:p>
    <w:p>
      <w:pPr>
        <w:ind w:left="580" w:hanging="329"/>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a percentage of homebuilding revenues.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Debt to Capital Ratio</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Net debt to capital ratio is a non-GAAP financial measure used by management as a supplemental measure in understanding the leverage employed in the Company’s operations and as an indicator of its ability to obtain financing. The Company defines net debt to capital ratio as net debt (which is total debt minus cash and cash equivalents) divided by net debt plus total equity. Management believes that the presentation of net debt to capital ratio provides useful information to investors regarding the Company’s financial leverage and its ability to meet long-term obligations. By excluding cash and cash equivalents from total debt, the ratio offers a clearer view of the Company’s capital structure and financial flexibility. Management uses this metric to monitor the Company’s capital efficiency and to evaluate the effectiveness of its capital management strategies over time. Other companies may define this measure differently and, as a result, the Company’s measure of net debt to capital ratio may not be directly comparable to the measures of other companies.</w:t>
      </w:r>
    </w:p>
    <w:p>
      <w:pPr>
        <w:spacing w:after="0" w:line="7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reconciles net debt to capital ratio to debt to capital ratio, which is the GAAP financial measure that management believes to be most directly comparable (dollars in thousands, 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0"/>
                <w:szCs w:val="20"/>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40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(Notes payable)</w:t>
            </w:r>
          </w:p>
        </w:tc>
        <w:tc>
          <w:tcPr>
            <w:tcW w:w="3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1,544,466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1,656,803</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2,160,426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2,096,289</w:t>
            </w:r>
          </w:p>
        </w:tc>
      </w:tr>
      <w:tr>
        <w:trPr>
          <w:trHeight w:val="27"/>
        </w:trPr>
        <w:tc>
          <w:tcPr>
            <w:tcW w:w="40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w:t>
            </w:r>
          </w:p>
        </w:tc>
        <w:tc>
          <w:tcPr>
            <w:tcW w:w="3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3,704,892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3,753,092</w:t>
            </w:r>
          </w:p>
        </w:tc>
      </w:tr>
      <w:tr>
        <w:trPr>
          <w:trHeight w:val="23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to capital ratio</w:t>
            </w:r>
          </w:p>
        </w:tc>
        <w:tc>
          <w:tcPr>
            <w:tcW w:w="2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44.1 %</w:t>
            </w:r>
          </w:p>
        </w:tc>
      </w:tr>
      <w:tr>
        <w:trPr>
          <w:trHeight w:val="27"/>
        </w:trPr>
        <w:tc>
          <w:tcPr>
            <w:tcW w:w="40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0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(Notes payable)</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1,544,466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1,656,803</w:t>
            </w:r>
          </w:p>
        </w:tc>
      </w:tr>
      <w:tr>
        <w:trPr>
          <w:trHeight w:val="27"/>
        </w:trPr>
        <w:tc>
          <w:tcPr>
            <w:tcW w:w="40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69,437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61,247</w:t>
            </w:r>
          </w:p>
        </w:tc>
      </w:tr>
      <w:tr>
        <w:trPr>
          <w:trHeight w:val="23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29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1,475,029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1,595,556</w:t>
            </w:r>
          </w:p>
        </w:tc>
      </w:tr>
      <w:tr>
        <w:trPr>
          <w:trHeight w:val="27"/>
        </w:trPr>
        <w:tc>
          <w:tcPr>
            <w:tcW w:w="40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2,160,426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2,096,289</w:t>
            </w:r>
          </w:p>
        </w:tc>
      </w:tr>
      <w:tr>
        <w:trPr>
          <w:trHeight w:val="23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capital</w:t>
            </w:r>
          </w:p>
        </w:tc>
        <w:tc>
          <w:tcPr>
            <w:tcW w:w="29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3,635,455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3,691,845</w:t>
            </w:r>
          </w:p>
        </w:tc>
      </w:tr>
      <w:tr>
        <w:trPr>
          <w:trHeight w:val="27"/>
        </w:trPr>
        <w:tc>
          <w:tcPr>
            <w:tcW w:w="40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debt to capital ratio </w:t>
            </w:r>
            <w:r>
              <w:rPr>
                <w:rFonts w:ascii="Times New Roman" w:cs="Times New Roman" w:eastAsia="Times New Roman" w:hAnsi="Times New Roman"/>
                <w:sz w:val="23"/>
                <w:szCs w:val="23"/>
                <w:color w:val="auto"/>
                <w:vertAlign w:val="superscript"/>
              </w:rPr>
              <w:t>(1)</w:t>
            </w:r>
          </w:p>
        </w:tc>
        <w:tc>
          <w:tcPr>
            <w:tcW w:w="2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r>
      <w:tr>
        <w:trPr>
          <w:trHeight w:val="864"/>
        </w:trPr>
        <w:tc>
          <w:tcPr>
            <w:tcW w:w="4000" w:type="dxa"/>
            <w:vAlign w:val="bottom"/>
          </w:tcPr>
          <w:p>
            <w:pPr>
              <w:spacing w:after="0"/>
              <w:rPr>
                <w:sz w:val="24"/>
                <w:szCs w:val="24"/>
                <w:color w:val="auto"/>
              </w:rPr>
            </w:pPr>
          </w:p>
        </w:tc>
        <w:tc>
          <w:tcPr>
            <w:tcW w:w="29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240"/>
          </w:cols>
          <w:pgMar w:left="320" w:top="1049" w:right="33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6"/>
          <w:szCs w:val="16"/>
          <w:color w:val="auto"/>
        </w:rPr>
        <w:t>(1) Net debt to capital ratio is calculated as net debt (which is total debt minus cash and cash equivalents) divided by net debt plus total equity.</w:t>
      </w:r>
    </w:p>
    <w:p>
      <w:pPr>
        <w:spacing w:after="0" w:line="21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CONTACT:</w:t>
        <w:tab/>
        <w:t>Joshua D. Fattor</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Executive Vice President of Finance and Capital Markets</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Head of Investor Relations</w:t>
      </w:r>
    </w:p>
    <w:p>
      <w:pPr>
        <w:spacing w:after="0" w:line="6" w:lineRule="exact"/>
        <w:rPr>
          <w:sz w:val="20"/>
          <w:szCs w:val="20"/>
          <w:color w:val="auto"/>
        </w:rPr>
      </w:pPr>
    </w:p>
    <w:p>
      <w:pPr>
        <w:ind w:left="1300" w:right="6219" w:firstLine="4"/>
        <w:spacing w:after="0" w:line="286" w:lineRule="auto"/>
        <w:tabs>
          <w:tab w:leader="none" w:pos="177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210-2586 investorrelations@lgihomes.com</w:t>
      </w:r>
    </w:p>
    <w:p>
      <w:pPr>
        <w:spacing w:after="0" w:line="200" w:lineRule="exact"/>
        <w:rPr>
          <w:sz w:val="20"/>
          <w:szCs w:val="20"/>
          <w:color w:val="auto"/>
        </w:rPr>
      </w:pPr>
    </w:p>
    <w:p>
      <w:pPr>
        <w:spacing w:after="0" w:line="2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0139"/>
      </w:cols>
      <w:pgMar w:left="320" w:top="10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2026-11-03T07:35:37Z</dcterms:created>
  <dcterms:modified xsi:type="dcterms:W3CDTF">2026-11-03T07:35:37Z</dcterms:modified>
</cp:coreProperties>
</file>