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578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57822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gridSpan w:val="2"/>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Garber Scott James</w:t>
              </w:r>
            </w:hyperlink>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LGI Homes,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LGIH</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0000EE"/>
            </w:tcBorders>
            <w:gridSpan w:val="2"/>
            <w:vMerge w:val="continue"/>
          </w:tcPr>
          <w:p>
            <w:pPr>
              <w:spacing w:after="0"/>
              <w:rPr>
                <w:sz w:val="3"/>
                <w:szCs w:val="3"/>
                <w:color w:val="auto"/>
              </w:rPr>
            </w:pPr>
          </w:p>
        </w:tc>
        <w:tc>
          <w:tcPr>
            <w:tcW w:w="460" w:type="dxa"/>
            <w:vAlign w:val="bottom"/>
            <w:vMerge w:val="restart"/>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9"/>
                <w:szCs w:val="9"/>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2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5"/>
                <w:szCs w:val="5"/>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4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40" w:type="dxa"/>
            <w:vAlign w:val="bottom"/>
            <w:gridSpan w:val="7"/>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3"/>
                <w:szCs w:val="13"/>
                <w:color w:val="0000FF"/>
              </w:rPr>
              <w:t>General Counsel and Secretary</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1450 LAKE ROBBINS DRIVE SUITE 430</w:t>
            </w:r>
          </w:p>
        </w:tc>
        <w:tc>
          <w:tcPr>
            <w:tcW w:w="1040" w:type="dxa"/>
            <w:vAlign w:val="bottom"/>
          </w:tcPr>
          <w:p>
            <w:pPr>
              <w:spacing w:after="0"/>
              <w:rPr>
                <w:sz w:val="9"/>
                <w:szCs w:val="9"/>
                <w:color w:val="auto"/>
              </w:rPr>
            </w:pPr>
          </w:p>
        </w:tc>
        <w:tc>
          <w:tcPr>
            <w:tcW w:w="1360" w:type="dxa"/>
            <w:vAlign w:val="bottom"/>
            <w:gridSpan w:val="5"/>
            <w:vMerge w:val="restart"/>
          </w:tcPr>
          <w:p>
            <w:pPr>
              <w:jc w:val="right"/>
              <w:ind w:right="374"/>
              <w:spacing w:after="0"/>
              <w:rPr>
                <w:sz w:val="20"/>
                <w:szCs w:val="20"/>
                <w:color w:val="auto"/>
              </w:rPr>
            </w:pPr>
            <w:r>
              <w:rPr>
                <w:rFonts w:ascii="Times New Roman" w:cs="Times New Roman" w:eastAsia="Times New Roman" w:hAnsi="Times New Roman"/>
                <w:sz w:val="13"/>
                <w:szCs w:val="13"/>
                <w:color w:val="0000FF"/>
              </w:rPr>
              <w:t>03/08/2026</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4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THE WOODLANDS TX</w:t>
            </w:r>
          </w:p>
        </w:tc>
        <w:tc>
          <w:tcPr>
            <w:tcW w:w="700" w:type="dxa"/>
            <w:vAlign w:val="bottom"/>
          </w:tcPr>
          <w:p>
            <w:pPr>
              <w:spacing w:after="0"/>
              <w:rPr>
                <w:sz w:val="3"/>
                <w:szCs w:val="3"/>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77380</w:t>
            </w: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740" w:type="dxa"/>
            <w:vAlign w:val="bottom"/>
            <w:gridSpan w:val="7"/>
            <w:vMerge w:val="continue"/>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32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720" w:type="dxa"/>
            <w:vAlign w:val="bottom"/>
            <w:gridSpan w:val="2"/>
            <w:vMerge w:val="restart"/>
          </w:tcPr>
          <w:p>
            <w:pPr>
              <w:ind w:left="2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5"/>
                <w:szCs w:val="5"/>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7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7"/>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4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jc w:val="center"/>
              <w:ind w:left="23"/>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8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28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4"/>
          </w:tcPr>
          <w:p>
            <w:pPr>
              <w:jc w:val="center"/>
              <w:ind w:left="3"/>
              <w:spacing w:after="0"/>
              <w:rPr>
                <w:sz w:val="20"/>
                <w:szCs w:val="20"/>
                <w:color w:val="auto"/>
              </w:rPr>
            </w:pPr>
            <w:r>
              <w:rPr>
                <w:rFonts w:ascii="Times New Roman" w:cs="Times New Roman" w:eastAsia="Times New Roman" w:hAnsi="Times New Roman"/>
                <w:sz w:val="13"/>
                <w:szCs w:val="13"/>
                <w:color w:val="0000FF"/>
              </w:rPr>
              <w:t>03/08/2026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Pr>
          <w:p>
            <w:pPr>
              <w:spacing w:after="0"/>
              <w:rPr>
                <w:sz w:val="18"/>
                <w:szCs w:val="18"/>
                <w:color w:val="auto"/>
              </w:rPr>
            </w:pPr>
          </w:p>
        </w:tc>
        <w:tc>
          <w:tcPr>
            <w:tcW w:w="860" w:type="dxa"/>
            <w:vAlign w:val="bottom"/>
            <w:gridSpan w:val="2"/>
          </w:tcPr>
          <w:p>
            <w:pPr>
              <w:jc w:val="center"/>
              <w:ind w:left="24"/>
              <w:spacing w:after="0"/>
              <w:rPr>
                <w:sz w:val="20"/>
                <w:szCs w:val="20"/>
                <w:color w:val="auto"/>
              </w:rPr>
            </w:pPr>
            <w:r>
              <w:rPr>
                <w:rFonts w:ascii="Times New Roman" w:cs="Times New Roman" w:eastAsia="Times New Roman" w:hAnsi="Times New Roman"/>
                <w:sz w:val="13"/>
                <w:szCs w:val="13"/>
                <w:color w:val="0000FF"/>
              </w:rPr>
              <w:t>4,545</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0000FF"/>
              </w:rPr>
              <w:t>23,069</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jc w:val="center"/>
              <w:ind w:left="3"/>
              <w:spacing w:after="0"/>
              <w:rPr>
                <w:sz w:val="20"/>
                <w:szCs w:val="20"/>
                <w:color w:val="auto"/>
              </w:rPr>
            </w:pPr>
            <w:r>
              <w:rPr>
                <w:rFonts w:ascii="Times New Roman" w:cs="Times New Roman" w:eastAsia="Times New Roman" w:hAnsi="Times New Roman"/>
                <w:sz w:val="13"/>
                <w:szCs w:val="13"/>
                <w:color w:val="0000FF"/>
              </w:rPr>
              <w:t>03/09/2026</w:t>
            </w:r>
          </w:p>
        </w:tc>
        <w:tc>
          <w:tcPr>
            <w:tcW w:w="4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jc w:val="center"/>
              <w:ind w:left="324"/>
              <w:spacing w:after="0"/>
              <w:rPr>
                <w:sz w:val="20"/>
                <w:szCs w:val="20"/>
                <w:color w:val="auto"/>
              </w:rPr>
            </w:pPr>
            <w:r>
              <w:rPr>
                <w:rFonts w:ascii="Times New Roman" w:cs="Times New Roman" w:eastAsia="Times New Roman" w:hAnsi="Times New Roman"/>
                <w:sz w:val="13"/>
                <w:szCs w:val="13"/>
                <w:color w:val="0000FF"/>
              </w:rPr>
              <w:t>961</w:t>
            </w:r>
          </w:p>
        </w:tc>
        <w:tc>
          <w:tcPr>
            <w:tcW w:w="2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w w:val="92"/>
              </w:rPr>
              <w:t>$</w:t>
            </w:r>
            <w:r>
              <w:rPr>
                <w:rFonts w:ascii="Times New Roman" w:cs="Times New Roman" w:eastAsia="Times New Roman" w:hAnsi="Times New Roman"/>
                <w:sz w:val="13"/>
                <w:szCs w:val="13"/>
                <w:color w:val="0000FF"/>
                <w:w w:val="92"/>
              </w:rPr>
              <w:t>41.54</w:t>
            </w:r>
            <w:r>
              <w:rPr>
                <w:rFonts w:ascii="Times New Roman" w:cs="Times New Roman" w:eastAsia="Times New Roman" w:hAnsi="Times New Roman"/>
                <w:sz w:val="17"/>
                <w:szCs w:val="17"/>
                <w:color w:val="008000"/>
                <w:w w:val="92"/>
                <w:vertAlign w:val="superscript"/>
              </w:rPr>
              <w:t>(2)</w:t>
            </w:r>
          </w:p>
        </w:tc>
        <w:tc>
          <w:tcPr>
            <w:tcW w:w="7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22,108</w:t>
            </w: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jc w:val="center"/>
              <w:ind w:left="3"/>
              <w:spacing w:after="0"/>
              <w:rPr>
                <w:sz w:val="20"/>
                <w:szCs w:val="20"/>
                <w:color w:val="auto"/>
              </w:rPr>
            </w:pPr>
            <w:r>
              <w:rPr>
                <w:rFonts w:ascii="Times New Roman" w:cs="Times New Roman" w:eastAsia="Times New Roman" w:hAnsi="Times New Roman"/>
                <w:sz w:val="13"/>
                <w:szCs w:val="13"/>
                <w:color w:val="0000FF"/>
              </w:rPr>
              <w:t>03/09/2026</w:t>
            </w:r>
          </w:p>
        </w:tc>
        <w:tc>
          <w:tcPr>
            <w:tcW w:w="4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jc w:val="center"/>
              <w:ind w:left="304"/>
              <w:spacing w:after="0"/>
              <w:rPr>
                <w:sz w:val="20"/>
                <w:szCs w:val="20"/>
                <w:color w:val="auto"/>
              </w:rPr>
            </w:pPr>
            <w:r>
              <w:rPr>
                <w:rFonts w:ascii="Times New Roman" w:cs="Times New Roman" w:eastAsia="Times New Roman" w:hAnsi="Times New Roman"/>
                <w:sz w:val="13"/>
                <w:szCs w:val="13"/>
                <w:color w:val="0000FF"/>
              </w:rPr>
              <w:t>69</w:t>
            </w:r>
          </w:p>
        </w:tc>
        <w:tc>
          <w:tcPr>
            <w:tcW w:w="2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w w:val="92"/>
              </w:rPr>
              <w:t>$</w:t>
            </w:r>
            <w:r>
              <w:rPr>
                <w:rFonts w:ascii="Times New Roman" w:cs="Times New Roman" w:eastAsia="Times New Roman" w:hAnsi="Times New Roman"/>
                <w:sz w:val="13"/>
                <w:szCs w:val="13"/>
                <w:color w:val="0000FF"/>
                <w:w w:val="92"/>
              </w:rPr>
              <w:t>42.55</w:t>
            </w:r>
            <w:r>
              <w:rPr>
                <w:rFonts w:ascii="Times New Roman" w:cs="Times New Roman" w:eastAsia="Times New Roman" w:hAnsi="Times New Roman"/>
                <w:sz w:val="17"/>
                <w:szCs w:val="17"/>
                <w:color w:val="008000"/>
                <w:w w:val="92"/>
                <w:vertAlign w:val="superscript"/>
              </w:rPr>
              <w:t>(3)</w:t>
            </w:r>
          </w:p>
        </w:tc>
        <w:tc>
          <w:tcPr>
            <w:tcW w:w="7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22,039</w:t>
            </w: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jc w:val="center"/>
              <w:ind w:left="3"/>
              <w:spacing w:after="0"/>
              <w:rPr>
                <w:sz w:val="20"/>
                <w:szCs w:val="20"/>
                <w:color w:val="auto"/>
              </w:rPr>
            </w:pPr>
            <w:r>
              <w:rPr>
                <w:rFonts w:ascii="Times New Roman" w:cs="Times New Roman" w:eastAsia="Times New Roman" w:hAnsi="Times New Roman"/>
                <w:sz w:val="13"/>
                <w:szCs w:val="13"/>
                <w:color w:val="0000FF"/>
              </w:rPr>
              <w:t>03/09/2026</w:t>
            </w:r>
          </w:p>
        </w:tc>
        <w:tc>
          <w:tcPr>
            <w:tcW w:w="4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324"/>
              <w:spacing w:after="0"/>
              <w:rPr>
                <w:sz w:val="20"/>
                <w:szCs w:val="20"/>
                <w:color w:val="auto"/>
              </w:rPr>
            </w:pPr>
            <w:r>
              <w:rPr>
                <w:rFonts w:ascii="Times New Roman" w:cs="Times New Roman" w:eastAsia="Times New Roman" w:hAnsi="Times New Roman"/>
                <w:sz w:val="13"/>
                <w:szCs w:val="13"/>
                <w:color w:val="0000FF"/>
              </w:rPr>
              <w:t>323</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w w:val="92"/>
              </w:rPr>
              <w:t>$</w:t>
            </w:r>
            <w:r>
              <w:rPr>
                <w:rFonts w:ascii="Times New Roman" w:cs="Times New Roman" w:eastAsia="Times New Roman" w:hAnsi="Times New Roman"/>
                <w:sz w:val="13"/>
                <w:szCs w:val="13"/>
                <w:color w:val="0000FF"/>
                <w:w w:val="92"/>
              </w:rPr>
              <w:t>43.41</w:t>
            </w:r>
            <w:r>
              <w:rPr>
                <w:rFonts w:ascii="Times New Roman" w:cs="Times New Roman" w:eastAsia="Times New Roman" w:hAnsi="Times New Roman"/>
                <w:sz w:val="17"/>
                <w:szCs w:val="17"/>
                <w:color w:val="008000"/>
                <w:w w:val="92"/>
                <w:vertAlign w:val="superscript"/>
              </w:rPr>
              <w:t>(4)</w:t>
            </w:r>
          </w:p>
        </w:tc>
        <w:tc>
          <w:tcPr>
            <w:tcW w:w="7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21,716</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260" w:type="dxa"/>
            <w:vAlign w:val="bottom"/>
            <w:tcBorders>
              <w:top w:val="single" w:sz="8" w:color="2C2C2C"/>
            </w:tcBorders>
          </w:tcPr>
          <w:p>
            <w:pPr>
              <w:spacing w:after="0"/>
              <w:rPr>
                <w:sz w:val="14"/>
                <w:szCs w:val="14"/>
                <w:color w:val="auto"/>
              </w:rPr>
            </w:pPr>
          </w:p>
        </w:tc>
        <w:tc>
          <w:tcPr>
            <w:tcW w:w="46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26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46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4"/>
          </w:tcPr>
          <w:p>
            <w:pPr>
              <w:ind w:left="2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00" w:type="dxa"/>
            <w:vAlign w:val="bottom"/>
            <w:gridSpan w:val="4"/>
          </w:tcPr>
          <w:p>
            <w:pPr>
              <w:ind w:left="2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4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8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8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ind w:left="2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transaction relate to withholding taxes for awards vesting on March 8, 2026.</w:t>
      </w:r>
    </w:p>
    <w:p>
      <w:pPr>
        <w:spacing w:after="0" w:line="40" w:lineRule="exact"/>
        <w:rPr>
          <w:rFonts w:ascii="Times New Roman" w:cs="Times New Roman" w:eastAsia="Times New Roman" w:hAnsi="Times New Roman"/>
          <w:sz w:val="10"/>
          <w:szCs w:val="10"/>
          <w:color w:val="008000"/>
        </w:rPr>
      </w:pPr>
    </w:p>
    <w:p>
      <w:pPr>
        <w:ind w:left="40" w:right="1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$41.06 to $42.05, inclusive. The reporting person undertakes to provide to LGI Homes, Inc., any security holder of LGI Homes, Inc., or the staff of the Securities and Exchange Commission, upon request, full information regarding the number of shares sold at each separate price within the ranges set forth in this footnote.</w:t>
      </w:r>
    </w:p>
    <w:p>
      <w:pPr>
        <w:spacing w:after="0" w:line="3" w:lineRule="exact"/>
        <w:rPr>
          <w:rFonts w:ascii="Times New Roman" w:cs="Times New Roman" w:eastAsia="Times New Roman" w:hAnsi="Times New Roman"/>
          <w:sz w:val="10"/>
          <w:szCs w:val="10"/>
          <w:color w:val="008000"/>
        </w:rPr>
      </w:pPr>
    </w:p>
    <w:p>
      <w:pPr>
        <w:ind w:left="40" w:right="1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$42.06 to $43.02, inclusive. The reporting person undertakes to provide to LGI Homes, Inc., any security holder of LGI Homes, Inc., or the staff of the Securities and Exchange Commission, upon request, full information regarding the number of shares sold at each separate price within the ranges set forth in this footnote.</w:t>
      </w:r>
    </w:p>
    <w:p>
      <w:pPr>
        <w:spacing w:after="0" w:line="3" w:lineRule="exact"/>
        <w:rPr>
          <w:rFonts w:ascii="Times New Roman" w:cs="Times New Roman" w:eastAsia="Times New Roman" w:hAnsi="Times New Roman"/>
          <w:sz w:val="10"/>
          <w:szCs w:val="10"/>
          <w:color w:val="008000"/>
        </w:rPr>
      </w:pPr>
    </w:p>
    <w:p>
      <w:pPr>
        <w:ind w:left="40" w:right="1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$43.06 to $43.67, inclusive. The reporting person undertakes to provide to LGI Homes, Inc., any security holder of LGI Homes, Inc., or the staff of the Securities and Exchange Commission, upon request, full information regarding the number of shares sold at each separate price within the ranges set forth in this footnote.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Charles Merdian, Attorney-in-Fact</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03/10/2026</w:t>
            </w:r>
          </w:p>
        </w:tc>
      </w:tr>
      <w:tr>
        <w:trPr>
          <w:trHeight w:val="178"/>
        </w:trPr>
        <w:tc>
          <w:tcPr>
            <w:tcW w:w="6580" w:type="dxa"/>
            <w:vAlign w:val="bottom"/>
          </w:tcPr>
          <w:p>
            <w:pPr>
              <w:spacing w:after="0"/>
              <w:rPr>
                <w:sz w:val="15"/>
                <w:szCs w:val="15"/>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7946" TargetMode="External"/><Relationship Id="rId14" Type="http://schemas.openxmlformats.org/officeDocument/2006/relationships/hyperlink" Target="http://www.sec.gov/cgi-bin/browse-edgar?action=getcompany&amp;CIK=00015806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2026-03-10T16:56:05Z</dcterms:created>
  <dcterms:modified xsi:type="dcterms:W3CDTF">2026-03-10T16:56:05Z</dcterms:modified>
</cp:coreProperties>
</file>