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120"/>
        <w:jc w:val="both"/>
      </w:pPr>
      <w:hyperlink w:anchor="ie0c00a7a1b3747cca0be3263a7bf0011_7">
        <w:r>
          <w:rPr>
            <w:rStyle w:val="InternetLink"/>
            <w:rFonts w:ascii="Times New Roman;serif" w:hAnsi="Times New Roman;serif"/>
            <w:b/>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9447" w:type="dxa"/>
        <w:jc w:val="left"/>
        <w:tblInd w:w="0" w:type="dxa"/>
        <w:tblLayout w:type="fixed"/>
        <w:tblCellMar>
          <w:top w:w="28" w:type="dxa"/>
          <w:left w:w="28" w:type="dxa"/>
          <w:bottom w:w="28" w:type="dxa"/>
          <w:right w:w="28" w:type="dxa"/>
        </w:tblCellMar>
      </w:tblPr>
      <w:tblGrid>
        <w:gridCol w:w="124"/>
        <w:gridCol w:w="109"/>
        <w:gridCol w:w="109"/>
        <w:gridCol w:w="2664"/>
        <w:gridCol w:w="2664"/>
        <w:gridCol w:w="3777"/>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September 30, 2026 </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OR</w:t>
      </w:r>
    </w:p>
    <w:tbl>
      <w:tblPr>
        <w:tblW w:w="9507" w:type="dxa"/>
        <w:jc w:val="center"/>
        <w:tblInd w:w="0" w:type="dxa"/>
        <w:tblLayout w:type="fixed"/>
        <w:tblCellMar>
          <w:top w:w="28" w:type="dxa"/>
          <w:left w:w="28" w:type="dxa"/>
          <w:bottom w:w="28" w:type="dxa"/>
          <w:right w:w="28" w:type="dxa"/>
        </w:tblCellMar>
      </w:tblPr>
      <w:tblGrid>
        <w:gridCol w:w="124"/>
        <w:gridCol w:w="109"/>
        <w:gridCol w:w="109"/>
        <w:gridCol w:w="2683"/>
        <w:gridCol w:w="2683"/>
        <w:gridCol w:w="3799"/>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3799"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120" w:after="283"/>
        <w:jc w:val="center"/>
      </w:pPr>
      <w:r>
        <w:rPr>
          <w:rFonts w:ascii="Times New Roman;serif" w:hAnsi="Times New Roman;serif"/>
          <w:b/>
          <w:color w:val="000000"/>
          <w:sz w:val="18"/>
        </w:rPr>
        <w:t>For the transition period from  </w:t>
      </w:r>
      <w:r>
        <w:rPr>
          <w:color w:val="000000"/>
        </w:rPr>
        <w:t xml:space="preserve"> </w:t>
      </w:r>
      <w:r>
        <w:rPr>
          <w:color w:val="000000"/>
          <w:u w:val="single"/>
        </w:rPr>
        <w:t>                   </w:t>
      </w:r>
      <w:r>
        <w:rPr>
          <w:color w:val="000000"/>
        </w:rPr>
        <w:t xml:space="preserve"> </w:t>
      </w:r>
      <w:r>
        <w:rPr>
          <w:rFonts w:ascii="Times New Roman;serif" w:hAnsi="Times New Roman;serif"/>
          <w:b/>
          <w:color w:val="000000"/>
          <w:sz w:val="18"/>
        </w:rPr>
        <w:t>to  </w:t>
      </w:r>
      <w:r>
        <w:rPr>
          <w:color w:val="000000"/>
        </w:rPr>
        <w:t xml:space="preserve"> </w:t>
      </w:r>
      <w:r>
        <w:rPr>
          <w:color w:val="000000"/>
          <w:u w:val="single"/>
        </w:rPr>
        <w:t>                   </w:t>
      </w:r>
      <w:r>
        <w:rPr>
          <w:rFonts w:ascii="Times New Roman;serif" w:hAnsi="Times New Roman;serif"/>
          <w:b/>
          <w:color w:val="000000"/>
          <w:sz w:val="18"/>
        </w:rPr>
        <w:t>.</w:t>
      </w:r>
    </w:p>
    <w:p>
      <w:pPr>
        <w:pStyle w:val="TextBody"/>
        <w:bidi w:val="0"/>
        <w:spacing w:lineRule="auto" w:line="288" w:before="120" w:after="283"/>
        <w:jc w:val="center"/>
      </w:pPr>
      <w:r>
        <w:rPr>
          <w:rFonts w:ascii="Times New Roman;serif" w:hAnsi="Times New Roman;serif"/>
          <w:b/>
          <w:color w:val="000000"/>
          <w:sz w:val="18"/>
        </w:rPr>
        <w:t>Commission file number 001-36126</w:t>
      </w:r>
      <w:r>
        <w:rPr>
          <w:color w:val="000000"/>
        </w:rPr>
        <w:t>      </w:t>
      </w:r>
    </w:p>
    <w:p>
      <w:pPr>
        <w:pStyle w:val="TextBody"/>
        <w:bidi w:val="0"/>
        <w:spacing w:before="120" w:after="283"/>
        <w:jc w:val="center"/>
      </w:p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LGI HOMES, INC. </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8833" w:type="dxa"/>
        <w:jc w:val="center"/>
        <w:tblInd w:w="0" w:type="dxa"/>
        <w:tblLayout w:type="fixed"/>
        <w:tblCellMar>
          <w:top w:w="28" w:type="dxa"/>
          <w:left w:w="28" w:type="dxa"/>
          <w:bottom w:w="28" w:type="dxa"/>
          <w:right w:w="28" w:type="dxa"/>
        </w:tblCellMar>
      </w:tblPr>
      <w:tblGrid>
        <w:gridCol w:w="771"/>
        <w:gridCol w:w="679"/>
        <w:gridCol w:w="679"/>
        <w:gridCol w:w="375"/>
        <w:gridCol w:w="375"/>
        <w:gridCol w:w="375"/>
        <w:gridCol w:w="460"/>
        <w:gridCol w:w="460"/>
        <w:gridCol w:w="460"/>
        <w:gridCol w:w="375"/>
        <w:gridCol w:w="375"/>
        <w:gridCol w:w="378"/>
        <w:gridCol w:w="109"/>
        <w:gridCol w:w="109"/>
        <w:gridCol w:w="109"/>
        <w:gridCol w:w="799"/>
        <w:gridCol w:w="799"/>
        <w:gridCol w:w="1146"/>
      </w:tblGrid>
      <w:tr>
        <w:tc>
          <w:tcPr>
            <w:tcW w:w="77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c>
          <w:tcPr>
            <w:tcW w:w="576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46-3088013</w:t>
            </w:r>
          </w:p>
        </w:tc>
      </w:tr>
      <w:tr>
        <w:tc>
          <w:tcPr>
            <w:tcW w:w="576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1450 Lake Robbins Drive,</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Suite 430, </w:t>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The Woodlands,</w:t>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77380</w:t>
            </w:r>
          </w:p>
        </w:tc>
      </w:tr>
      <w:tr>
        <w:tc>
          <w:tcPr>
            <w:tcW w:w="576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 xml:space="preserve">(281) </w:t>
            </w:r>
          </w:p>
        </w:tc>
        <w:tc>
          <w:tcPr>
            <w:tcW w:w="1455" w:type="dxa"/>
            <w:gridSpan w:val="6"/>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362-8998</w:t>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33" w:type="dxa"/>
            <w:gridSpan w:val="18"/>
            <w:tcBorders/>
            <w:tcMar>
              <w:top w:w="0" w:type="dxa"/>
              <w:left w:w="0" w:type="dxa"/>
              <w:bottom w:w="0" w:type="dxa"/>
              <w:right w:w="0" w:type="dxa"/>
            </w:tcMar>
            <w:vAlign w:val="center"/>
          </w:tcPr>
          <w:p>
            <w:pPr>
              <w:pStyle w:val="TableContents"/>
              <w:bidi w:val="0"/>
              <w:spacing w:lineRule="auto" w:line="240" w:before="120" w:after="283"/>
              <w:jc w:val="center"/>
            </w:pPr>
            <w:r>
              <w:rPr>
                <w:rFonts w:ascii="Times New Roman;serif" w:hAnsi="Times New Roman;serif"/>
                <w:b/>
                <w:color w:val="000000"/>
                <w:sz w:val="16"/>
              </w:rPr>
              <w:t>(Registrant</w:t>
            </w:r>
            <w:r>
              <w:rPr>
                <w:color w:val="000000"/>
              </w:rPr>
              <w:t>’</w:t>
            </w:r>
            <w:r>
              <w:rPr>
                <w:rFonts w:ascii="Times New Roman;serif" w:hAnsi="Times New Roman;serif"/>
                <w:b/>
                <w:color w:val="000000"/>
                <w:sz w:val="16"/>
              </w:rPr>
              <w:t>s Telephone Number, Including Area Code)</w:t>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767" w:type="dxa"/>
        <w:jc w:val="center"/>
        <w:tblInd w:w="0" w:type="dxa"/>
        <w:tblLayout w:type="fixed"/>
        <w:tblCellMar>
          <w:top w:w="28" w:type="dxa"/>
          <w:left w:w="28" w:type="dxa"/>
          <w:bottom w:w="28" w:type="dxa"/>
          <w:right w:w="28" w:type="dxa"/>
        </w:tblCellMar>
      </w:tblPr>
      <w:tblGrid>
        <w:gridCol w:w="1154"/>
        <w:gridCol w:w="1013"/>
        <w:gridCol w:w="1013"/>
        <w:gridCol w:w="308"/>
        <w:gridCol w:w="308"/>
        <w:gridCol w:w="308"/>
        <w:gridCol w:w="475"/>
        <w:gridCol w:w="475"/>
        <w:gridCol w:w="475"/>
        <w:gridCol w:w="308"/>
        <w:gridCol w:w="308"/>
        <w:gridCol w:w="308"/>
        <w:gridCol w:w="970"/>
        <w:gridCol w:w="970"/>
        <w:gridCol w:w="1374"/>
      </w:tblGrid>
      <w:tr>
        <w:tc>
          <w:tcPr>
            <w:tcW w:w="1154"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c>
          <w:tcPr>
            <w:tcW w:w="9767"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par value $0.01 per share</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LGIH</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Nasdaq Global Select Market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Nasdaq Texas, LLC</w:t>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240" w:after="283"/>
        <w:jc w:val="center"/>
      </w:pPr>
      <w:r>
        <w:rPr>
          <w:rFonts w:ascii="Times New Roman;serif" w:hAnsi="Times New Roman;serif"/>
          <w:b w:val="false"/>
          <w:color w:val="000000"/>
          <w:sz w:val="18"/>
        </w:rPr>
        <w:t>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0" w:after="0"/>
        <w:jc w:val="center"/>
      </w:pPr>
      <w:r>
        <w:rPr>
          <w:rFonts w:ascii="Times New Roman;serif" w:hAnsi="Times New Roman;serif"/>
          <w:b w:val="false"/>
          <w:color w:val="000000"/>
          <w:sz w:val="18"/>
        </w:rPr>
        <w:t>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tbl>
      <w:tblPr>
        <w:tblW w:w="473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8"/>
        <w:gridCol w:w="678"/>
        <w:gridCol w:w="683"/>
        <w:gridCol w:w="109"/>
        <w:gridCol w:w="109"/>
        <w:gridCol w:w="154"/>
      </w:tblGrid>
      <w:t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80" w:after="120"/>
        <w:jc w:val="both"/>
      </w:pPr>
      <w:hyperlink w:anchor="ie0c00a7a1b3747cca0be3263a7bf0011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both"/>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ind w:left="0" w:right="0" w:firstLine="450"/>
        <w:jc w:val="both"/>
      </w:pPr>
      <w:r/>
    </w:p>
    <w:p>
      <w:pPr>
        <w:pStyle w:val="TextBody"/>
        <w:bidi w:val="0"/>
        <w:spacing w:lineRule="auto" w:line="288" w:before="120" w:after="283"/>
        <w:jc w:val="both"/>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October 29, 2026, there were 23,270,358 shares of the registrant’s common stock, par value $0.01 per share, outstanding.</w:t>
      </w:r>
    </w:p>
    <w:p>
      <w:pPr>
        <w:pStyle w:val="TextBody"/>
        <w:bidi w:val="0"/>
        <w:spacing w:before="0" w:after="0"/>
        <w:jc w:val="both"/>
      </w:pPr>
      <w:r/>
    </w:p>
    <w:p>
      <w:pPr>
        <w:pStyle w:val="TextBody"/>
        <w:bidi w:val="0"/>
        <w:spacing w:before="0" w:after="0"/>
        <w:jc w:val="both"/>
      </w:pPr>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pPr>
      <w:hyperlink w:anchor="ie0c00a7a1b3747cca0be3263a7bf0011_16">
        <w:r>
          <w:rPr>
            <w:rStyle w:val="InternetLink"/>
            <w:rFonts w:ascii="Times New Roman;serif" w:hAnsi="Times New Roman;serif"/>
            <w:b/>
            <w:color w:val="0000FF"/>
            <w:sz w:val="20"/>
            <w:u w:val="single"/>
          </w:rPr>
          <w:t>Table of Contents</w:t>
        </w:r>
      </w:hyperlink>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p>
      <w:pPr>
        <w:pStyle w:val="TextBody"/>
        <w:bidi w:val="0"/>
        <w:spacing w:before="0" w:after="0"/>
        <w:jc w:val="left"/>
      </w:pPr>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555"/>
        <w:gridCol w:w="488"/>
        <w:gridCol w:w="488"/>
        <w:gridCol w:w="2756"/>
        <w:gridCol w:w="2702"/>
        <w:gridCol w:w="2702"/>
        <w:gridCol w:w="149"/>
        <w:gridCol w:w="149"/>
        <w:gridCol w:w="216"/>
      </w:tblGrid>
      <w:tr>
        <w:tc>
          <w:tcPr>
            <w:tcW w:w="5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c>
          <w:tcPr>
            <w:tcW w:w="96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e0c00a7a1b3747cca0be3263a7bf0011_85">
              <w:r>
                <w:rPr>
                  <w:rStyle w:val="InternetLink"/>
                  <w:rFonts w:ascii="Times New Roman;serif" w:hAnsi="Times New Roman;serif"/>
                  <w:b w:val="false"/>
                  <w:color w:val="0000FF"/>
                  <w:sz w:val="20"/>
                  <w:u w:val="single"/>
                </w:rPr>
                <w:t>PART I - FINANCIAL INFORMATION</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e0c00a7a1b3747cca0be3263a7bf0011_88">
              <w:r>
                <w:rPr>
                  <w:rStyle w:val="InternetLink"/>
                  <w:rFonts w:ascii="Times New Roman;serif" w:hAnsi="Times New Roman;serif"/>
                  <w:b w:val="false"/>
                  <w:color w:val="0000FF"/>
                  <w:sz w:val="20"/>
                  <w:u w:val="single"/>
                </w:rPr>
                <w:t>Item 1.</w:t>
              </w:r>
            </w:hyperlink>
          </w:p>
        </w:tc>
        <w:tc>
          <w:tcPr>
            <w:tcW w:w="816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e0c00a7a1b3747cca0be3263a7bf0011_85">
              <w:r>
                <w:rPr>
                  <w:rStyle w:val="InternetLink"/>
                  <w:rFonts w:ascii="Times New Roman;serif" w:hAnsi="Times New Roman;serif"/>
                  <w:b w:val="false"/>
                  <w:color w:val="0000FF"/>
                  <w:sz w:val="20"/>
                  <w:u w:val="single"/>
                </w:rPr>
                <w:t>LGI Homes, Inc. Condensed Consolidated Financial Statements (Unaudited)</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e0c00a7a1b3747cca0be3263a7bf0011_91">
              <w:r>
                <w:rPr>
                  <w:rStyle w:val="InternetLink"/>
                  <w:rFonts w:ascii="Times New Roman;serif" w:hAnsi="Times New Roman;serif"/>
                  <w:b w:val="false"/>
                  <w:color w:val="000080"/>
                  <w:sz w:val="20"/>
                  <w:u w:val="single"/>
                </w:rPr>
                <w:t xml:space="preserve">Condensed Consolidated Balance Sheets as of </w:t>
              </w:r>
            </w:hyperlink>
            <w:hyperlink w:anchor="ie0c00a7a1b3747cca0be3263a7bf0011_91">
              <w:r>
                <w:rPr>
                  <w:rStyle w:val="InternetLink"/>
                  <w:rFonts w:ascii="Times New Roman;serif" w:hAnsi="Times New Roman;serif"/>
                  <w:b w:val="false"/>
                  <w:color w:val="000080"/>
                  <w:sz w:val="20"/>
                  <w:u w:val="single"/>
                </w:rPr>
                <w:t>Se</w:t>
              </w:r>
            </w:hyperlink>
            <w:hyperlink w:anchor="ie0c00a7a1b3747cca0be3263a7bf0011_91">
              <w:r>
                <w:rPr>
                  <w:rStyle w:val="InternetLink"/>
                  <w:rFonts w:ascii="Times New Roman;serif" w:hAnsi="Times New Roman;serif"/>
                  <w:b w:val="false"/>
                  <w:color w:val="000080"/>
                  <w:sz w:val="20"/>
                  <w:u w:val="single"/>
                </w:rPr>
                <w:t>ptember</w:t>
              </w:r>
            </w:hyperlink>
            <w:hyperlink w:anchor="ie0c00a7a1b3747cca0be3263a7bf0011_91">
              <w:r>
                <w:rPr>
                  <w:rStyle w:val="InternetLink"/>
                  <w:rFonts w:ascii="Times New Roman;serif" w:hAnsi="Times New Roman;serif"/>
                  <w:b w:val="false"/>
                  <w:color w:val="000080"/>
                  <w:sz w:val="20"/>
                  <w:u w:val="single"/>
                </w:rPr>
                <w:t xml:space="preserve"> 30, 2026 and December 31,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e0c00a7a1b3747cca0be3263a7bf0011_91">
              <w:r>
                <w:rPr>
                  <w:rStyle w:val="InternetLink"/>
                  <w:rFonts w:ascii="Times New Roman;serif" w:hAnsi="Times New Roman;serif"/>
                  <w:b w:val="false"/>
                  <w:color w:val="0000FF"/>
                  <w:sz w:val="20"/>
                  <w:u w:val="single"/>
                </w:rPr>
                <w:t>4</w:t>
              </w:r>
            </w:hyperlink>
          </w:p>
        </w:tc>
      </w:tr>
      <w:t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e0c00a7a1b3747cca0be3263a7bf0011_94">
              <w:r>
                <w:rPr>
                  <w:rStyle w:val="InternetLink"/>
                  <w:rFonts w:ascii="Times New Roman;serif" w:hAnsi="Times New Roman;serif"/>
                  <w:b w:val="false"/>
                  <w:color w:val="000080"/>
                  <w:sz w:val="20"/>
                  <w:u w:val="single"/>
                </w:rPr>
                <w:t xml:space="preserve">Condensed Consolidated Statements of Operations for the Three and </w:t>
              </w:r>
            </w:hyperlink>
            <w:hyperlink w:anchor="ie0c00a7a1b3747cca0be3263a7bf0011_94">
              <w:r>
                <w:rPr>
                  <w:rStyle w:val="InternetLink"/>
                  <w:rFonts w:ascii="Times New Roman;serif" w:hAnsi="Times New Roman;serif"/>
                  <w:b w:val="false"/>
                  <w:color w:val="000080"/>
                  <w:sz w:val="20"/>
                  <w:u w:val="single"/>
                </w:rPr>
                <w:t>Nine</w:t>
              </w:r>
            </w:hyperlink>
            <w:hyperlink w:anchor="ie0c00a7a1b3747cca0be3263a7bf0011_94">
              <w:r>
                <w:rPr>
                  <w:rStyle w:val="InternetLink"/>
                  <w:rFonts w:ascii="Times New Roman;serif" w:hAnsi="Times New Roman;serif"/>
                  <w:b w:val="false"/>
                  <w:color w:val="000080"/>
                  <w:sz w:val="20"/>
                  <w:u w:val="single"/>
                </w:rPr>
                <w:t xml:space="preserve"> Months Ended </w:t>
              </w:r>
            </w:hyperlink>
            <w:hyperlink w:anchor="ie0c00a7a1b3747cca0be3263a7bf0011_94">
              <w:r>
                <w:rPr>
                  <w:rStyle w:val="InternetLink"/>
                  <w:rFonts w:ascii="Times New Roman;serif" w:hAnsi="Times New Roman;serif"/>
                  <w:b w:val="false"/>
                  <w:color w:val="000080"/>
                  <w:sz w:val="20"/>
                  <w:u w:val="single"/>
                </w:rPr>
                <w:t>September</w:t>
              </w:r>
            </w:hyperlink>
            <w:hyperlink w:anchor="ie0c00a7a1b3747cca0be3263a7bf0011_94">
              <w:r>
                <w:rPr>
                  <w:rStyle w:val="InternetLink"/>
                  <w:rFonts w:ascii="Times New Roman;serif" w:hAnsi="Times New Roman;serif"/>
                  <w:b w:val="false"/>
                  <w:color w:val="000080"/>
                  <w:sz w:val="20"/>
                  <w:u w:val="single"/>
                </w:rPr>
                <w:t xml:space="preserve"> 30,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e0c00a7a1b3747cca0be3263a7bf0011_94">
              <w:r>
                <w:rPr>
                  <w:rStyle w:val="InternetLink"/>
                  <w:rFonts w:ascii="Times New Roman;serif" w:hAnsi="Times New Roman;serif"/>
                  <w:b w:val="false"/>
                  <w:color w:val="0000FF"/>
                  <w:sz w:val="20"/>
                  <w:u w:val="single"/>
                </w:rPr>
                <w:t>5</w:t>
              </w:r>
            </w:hyperlink>
          </w:p>
        </w:tc>
      </w:tr>
      <w:t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e0c00a7a1b3747cca0be3263a7bf0011_97">
              <w:r>
                <w:rPr>
                  <w:rStyle w:val="InternetLink"/>
                  <w:rFonts w:ascii="Times New Roman;serif" w:hAnsi="Times New Roman;serif"/>
                  <w:b w:val="false"/>
                  <w:color w:val="000080"/>
                  <w:sz w:val="20"/>
                  <w:u w:val="single"/>
                </w:rPr>
                <w:t xml:space="preserve">Condensed Consolidated Statements of Equity for the Three and </w:t>
              </w:r>
            </w:hyperlink>
            <w:hyperlink w:anchor="ie0c00a7a1b3747cca0be3263a7bf0011_97">
              <w:r>
                <w:rPr>
                  <w:rStyle w:val="InternetLink"/>
                  <w:rFonts w:ascii="Times New Roman;serif" w:hAnsi="Times New Roman;serif"/>
                  <w:b w:val="false"/>
                  <w:color w:val="000080"/>
                  <w:sz w:val="20"/>
                  <w:u w:val="single"/>
                </w:rPr>
                <w:t>Nine</w:t>
              </w:r>
            </w:hyperlink>
            <w:hyperlink w:anchor="ie0c00a7a1b3747cca0be3263a7bf0011_97">
              <w:r>
                <w:rPr>
                  <w:rStyle w:val="InternetLink"/>
                  <w:rFonts w:ascii="Times New Roman;serif" w:hAnsi="Times New Roman;serif"/>
                  <w:b w:val="false"/>
                  <w:color w:val="000080"/>
                  <w:sz w:val="20"/>
                  <w:u w:val="single"/>
                </w:rPr>
                <w:t xml:space="preserve"> Months Ended </w:t>
              </w:r>
            </w:hyperlink>
            <w:hyperlink w:anchor="ie0c00a7a1b3747cca0be3263a7bf0011_97">
              <w:r>
                <w:rPr>
                  <w:rStyle w:val="InternetLink"/>
                  <w:rFonts w:ascii="Times New Roman;serif" w:hAnsi="Times New Roman;serif"/>
                  <w:b w:val="false"/>
                  <w:color w:val="000080"/>
                  <w:sz w:val="20"/>
                  <w:u w:val="single"/>
                </w:rPr>
                <w:t>Se</w:t>
              </w:r>
            </w:hyperlink>
            <w:hyperlink w:anchor="ie0c00a7a1b3747cca0be3263a7bf0011_97">
              <w:r>
                <w:rPr>
                  <w:rStyle w:val="InternetLink"/>
                  <w:rFonts w:ascii="Times New Roman;serif" w:hAnsi="Times New Roman;serif"/>
                  <w:b w:val="false"/>
                  <w:color w:val="000080"/>
                  <w:sz w:val="20"/>
                  <w:u w:val="single"/>
                </w:rPr>
                <w:t>ptember</w:t>
              </w:r>
            </w:hyperlink>
            <w:hyperlink w:anchor="ie0c00a7a1b3747cca0be3263a7bf0011_97">
              <w:r>
                <w:rPr>
                  <w:rStyle w:val="InternetLink"/>
                  <w:rFonts w:ascii="Times New Roman;serif" w:hAnsi="Times New Roman;serif"/>
                  <w:b w:val="false"/>
                  <w:color w:val="000080"/>
                  <w:sz w:val="20"/>
                  <w:u w:val="single"/>
                </w:rPr>
                <w:t xml:space="preserve"> 30,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e0c00a7a1b3747cca0be3263a7bf0011_97">
              <w:r>
                <w:rPr>
                  <w:rStyle w:val="InternetLink"/>
                  <w:rFonts w:ascii="Times New Roman;serif" w:hAnsi="Times New Roman;serif"/>
                  <w:b w:val="false"/>
                  <w:color w:val="0000FF"/>
                  <w:sz w:val="20"/>
                  <w:u w:val="single"/>
                </w:rPr>
                <w:t>6</w:t>
              </w:r>
            </w:hyperlink>
          </w:p>
        </w:tc>
      </w:tr>
      <w:t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e0c00a7a1b3747cca0be3263a7bf0011_106">
              <w:r>
                <w:rPr>
                  <w:rStyle w:val="InternetLink"/>
                  <w:rFonts w:ascii="Times New Roman;serif" w:hAnsi="Times New Roman;serif"/>
                  <w:b w:val="false"/>
                  <w:color w:val="000080"/>
                  <w:sz w:val="20"/>
                  <w:u w:val="single"/>
                </w:rPr>
                <w:t xml:space="preserve">Condensed Consolidated Statements of Cash Flows for the </w:t>
              </w:r>
            </w:hyperlink>
            <w:hyperlink w:anchor="ie0c00a7a1b3747cca0be3263a7bf0011_106">
              <w:r>
                <w:rPr>
                  <w:rStyle w:val="InternetLink"/>
                  <w:rFonts w:ascii="Times New Roman;serif" w:hAnsi="Times New Roman;serif"/>
                  <w:b w:val="false"/>
                  <w:color w:val="000080"/>
                  <w:sz w:val="20"/>
                  <w:u w:val="single"/>
                </w:rPr>
                <w:t>Nine</w:t>
              </w:r>
            </w:hyperlink>
            <w:hyperlink w:anchor="ie0c00a7a1b3747cca0be3263a7bf0011_106">
              <w:r>
                <w:rPr>
                  <w:rStyle w:val="InternetLink"/>
                  <w:rFonts w:ascii="Times New Roman;serif" w:hAnsi="Times New Roman;serif"/>
                  <w:b w:val="false"/>
                  <w:color w:val="000080"/>
                  <w:sz w:val="20"/>
                  <w:u w:val="single"/>
                </w:rPr>
                <w:t xml:space="preserve"> Months Ended </w:t>
              </w:r>
            </w:hyperlink>
            <w:hyperlink w:anchor="ie0c00a7a1b3747cca0be3263a7bf0011_106">
              <w:r>
                <w:rPr>
                  <w:rStyle w:val="InternetLink"/>
                  <w:rFonts w:ascii="Times New Roman;serif" w:hAnsi="Times New Roman;serif"/>
                  <w:b w:val="false"/>
                  <w:color w:val="000080"/>
                  <w:sz w:val="20"/>
                  <w:u w:val="single"/>
                </w:rPr>
                <w:t>September</w:t>
              </w:r>
            </w:hyperlink>
            <w:hyperlink w:anchor="ie0c00a7a1b3747cca0be3263a7bf0011_106">
              <w:r>
                <w:rPr>
                  <w:rStyle w:val="InternetLink"/>
                  <w:rFonts w:ascii="Times New Roman;serif" w:hAnsi="Times New Roman;serif"/>
                  <w:b w:val="false"/>
                  <w:color w:val="000080"/>
                  <w:sz w:val="20"/>
                  <w:u w:val="single"/>
                </w:rPr>
                <w:t xml:space="preserve"> 30, 2026 and 2025</w:t>
              </w:r>
            </w:hyperlink>
            <w:r>
              <w:rPr>
                <w:color w:val="000000"/>
              </w:rPr>
              <w:t xml:space="preserve">  </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e0c00a7a1b3747cca0be3263a7bf0011_106">
              <w:r>
                <w:rPr>
                  <w:rStyle w:val="InternetLink"/>
                  <w:rFonts w:ascii="Times New Roman;serif" w:hAnsi="Times New Roman;serif"/>
                  <w:b w:val="false"/>
                  <w:color w:val="0000FF"/>
                  <w:sz w:val="20"/>
                  <w:u w:val="single"/>
                </w:rPr>
                <w:t>8</w:t>
              </w:r>
            </w:hyperlink>
          </w:p>
        </w:tc>
      </w:tr>
      <w:t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e0c00a7a1b3747cca0be3263a7bf0011_109">
              <w:r>
                <w:rPr>
                  <w:rStyle w:val="InternetLink"/>
                  <w:rFonts w:ascii="Times New Roman;serif" w:hAnsi="Times New Roman;serif"/>
                  <w:b w:val="false"/>
                  <w:color w:val="0000FF"/>
                  <w:sz w:val="20"/>
                  <w:u w:val="single"/>
                </w:rPr>
                <w:t xml:space="preserve">Notes to the Condensed Consolidated Financial Statements </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e0c00a7a1b3747cca0be3263a7bf0011_109">
              <w:r>
                <w:rPr>
                  <w:rStyle w:val="InternetLink"/>
                  <w:rFonts w:ascii="Times New Roman;serif" w:hAnsi="Times New Roman;serif"/>
                  <w:b w:val="false"/>
                  <w:color w:val="0000FF"/>
                  <w:sz w:val="20"/>
                  <w:u w:val="single"/>
                </w:rPr>
                <w:t>9</w:t>
              </w:r>
            </w:hyperlink>
          </w:p>
        </w:tc>
      </w:tr>
      <w:tr>
        <w:tc>
          <w:tcPr>
            <w:tcW w:w="1531"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e0c00a7a1b3747cca0be3263a7bf0011_253">
              <w:r>
                <w:rPr>
                  <w:rStyle w:val="InternetLink"/>
                  <w:rFonts w:ascii="Times New Roman;serif" w:hAnsi="Times New Roman;serif"/>
                  <w:b w:val="false"/>
                  <w:color w:val="0000FF"/>
                  <w:sz w:val="20"/>
                  <w:u w:val="single"/>
                </w:rPr>
                <w:t>Item 2.</w:t>
              </w:r>
            </w:hyperlink>
          </w:p>
        </w:tc>
        <w:tc>
          <w:tcPr>
            <w:tcW w:w="816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e0c00a7a1b3747cca0be3263a7bf0011_25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e0c00a7a1b3747cca0be3263a7bf0011_256">
              <w:r>
                <w:rPr>
                  <w:rStyle w:val="InternetLink"/>
                  <w:rFonts w:ascii="Times New Roman;serif" w:hAnsi="Times New Roman;serif"/>
                  <w:b w:val="false"/>
                  <w:color w:val="0000FF"/>
                  <w:sz w:val="20"/>
                  <w:u w:val="single"/>
                </w:rPr>
                <w:t>22</w:t>
              </w:r>
            </w:hyperlink>
          </w:p>
        </w:tc>
      </w:tr>
      <w:tr>
        <w:tc>
          <w:tcPr>
            <w:tcW w:w="1531"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e0c00a7a1b3747cca0be3263a7bf0011_343">
              <w:r>
                <w:rPr>
                  <w:rStyle w:val="InternetLink"/>
                  <w:rFonts w:ascii="Times New Roman;serif" w:hAnsi="Times New Roman;serif"/>
                  <w:b w:val="false"/>
                  <w:color w:val="0000FF"/>
                  <w:sz w:val="20"/>
                  <w:u w:val="single"/>
                </w:rPr>
                <w:t>Item 3.</w:t>
              </w:r>
            </w:hyperlink>
          </w:p>
        </w:tc>
        <w:tc>
          <w:tcPr>
            <w:tcW w:w="816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e0c00a7a1b3747cca0be3263a7bf0011_343">
              <w:r>
                <w:rPr>
                  <w:rStyle w:val="InternetLink"/>
                  <w:rFonts w:ascii="Times New Roman;serif" w:hAnsi="Times New Roman;serif"/>
                  <w:b w:val="false"/>
                  <w:color w:val="0000FF"/>
                  <w:sz w:val="20"/>
                  <w:u w:val="single"/>
                </w:rPr>
                <w:t>Quantitative and Qualitative Disclosures About Market Risk</w:t>
              </w:r>
            </w:hyperlink>
            <w:r>
              <w:rPr>
                <w:color w:val="000000"/>
              </w:rPr>
              <w:t xml:space="preserve">  </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e0c00a7a1b3747cca0be3263a7bf0011_343">
              <w:r>
                <w:rPr>
                  <w:rStyle w:val="InternetLink"/>
                  <w:rFonts w:ascii="Times New Roman;serif" w:hAnsi="Times New Roman;serif"/>
                  <w:b w:val="false"/>
                  <w:color w:val="0000FF"/>
                  <w:sz w:val="20"/>
                  <w:u w:val="single"/>
                </w:rPr>
                <w:t>42</w:t>
              </w:r>
            </w:hyperlink>
          </w:p>
        </w:tc>
      </w:tr>
      <w:tr>
        <w:tc>
          <w:tcPr>
            <w:tcW w:w="1531"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e0c00a7a1b3747cca0be3263a7bf0011_355">
              <w:r>
                <w:rPr>
                  <w:rStyle w:val="InternetLink"/>
                  <w:rFonts w:ascii="Times New Roman;serif" w:hAnsi="Times New Roman;serif"/>
                  <w:b w:val="false"/>
                  <w:color w:val="0000FF"/>
                  <w:sz w:val="20"/>
                  <w:u w:val="single"/>
                </w:rPr>
                <w:t>Item 4.</w:t>
              </w:r>
            </w:hyperlink>
          </w:p>
        </w:tc>
        <w:tc>
          <w:tcPr>
            <w:tcW w:w="816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e0c00a7a1b3747cca0be3263a7bf0011_355">
              <w:r>
                <w:rPr>
                  <w:rStyle w:val="InternetLink"/>
                  <w:rFonts w:ascii="Times New Roman;serif" w:hAnsi="Times New Roman;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e0c00a7a1b3747cca0be3263a7bf0011_355">
              <w:r>
                <w:rPr>
                  <w:rStyle w:val="InternetLink"/>
                  <w:rFonts w:ascii="Times New Roman;serif" w:hAnsi="Times New Roman;serif"/>
                  <w:b w:val="false"/>
                  <w:color w:val="0000FF"/>
                  <w:sz w:val="20"/>
                  <w:u w:val="single"/>
                </w:rPr>
                <w:t>43</w:t>
              </w:r>
            </w:hyperlink>
          </w:p>
        </w:tc>
      </w:tr>
      <w:t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e0c00a7a1b3747cca0be3263a7bf0011_370">
              <w:r>
                <w:rPr>
                  <w:rStyle w:val="InternetLink"/>
                  <w:rFonts w:ascii="Times New Roman;serif" w:hAnsi="Times New Roman;serif"/>
                  <w:b w:val="false"/>
                  <w:color w:val="0000FF"/>
                  <w:sz w:val="20"/>
                  <w:u w:val="single"/>
                </w:rPr>
                <w:t>PART II - OTHER INFORMATION</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e0c00a7a1b3747cca0be3263a7bf0011_376">
              <w:r>
                <w:rPr>
                  <w:rStyle w:val="InternetLink"/>
                  <w:rFonts w:ascii="Times New Roman;serif" w:hAnsi="Times New Roman;serif"/>
                  <w:b w:val="false"/>
                  <w:color w:val="0000FF"/>
                  <w:sz w:val="20"/>
                  <w:u w:val="single"/>
                </w:rPr>
                <w:t>Item 1A.</w:t>
              </w:r>
            </w:hyperlink>
          </w:p>
        </w:tc>
        <w:tc>
          <w:tcPr>
            <w:tcW w:w="816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e0c00a7a1b3747cca0be3263a7bf0011_376">
              <w:r>
                <w:rPr>
                  <w:rStyle w:val="InternetLink"/>
                  <w:rFonts w:ascii="Times New Roman;serif" w:hAnsi="Times New Roman;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e0c00a7a1b3747cca0be3263a7bf0011_376">
              <w:r>
                <w:rPr>
                  <w:rStyle w:val="InternetLink"/>
                  <w:rFonts w:ascii="Times New Roman;serif" w:hAnsi="Times New Roman;serif"/>
                  <w:b w:val="false"/>
                  <w:color w:val="0000FF"/>
                  <w:sz w:val="20"/>
                  <w:u w:val="single"/>
                </w:rPr>
                <w:t>43</w:t>
              </w:r>
            </w:hyperlink>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8160"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e0c00a7a1b3747cca0be3263a7bf0011_385">
              <w:r>
                <w:rPr>
                  <w:rStyle w:val="InternetLink"/>
                  <w:rFonts w:ascii="Times New Roman;serif" w:hAnsi="Times New Roman;serif"/>
                  <w:b w:val="false"/>
                  <w:color w:val="0000FF"/>
                  <w:sz w:val="20"/>
                  <w:u w:val="single"/>
                </w:rPr>
                <w:t>Item 5.</w:t>
              </w:r>
            </w:hyperlink>
          </w:p>
        </w:tc>
        <w:tc>
          <w:tcPr>
            <w:tcW w:w="816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e0c00a7a1b3747cca0be3263a7bf0011_385">
              <w:r>
                <w:rPr>
                  <w:rStyle w:val="InternetLink"/>
                  <w:rFonts w:ascii="Times New Roman;serif" w:hAnsi="Times New Roman;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e0c00a7a1b3747cca0be3263a7bf0011_385">
              <w:r>
                <w:rPr>
                  <w:rStyle w:val="InternetLink"/>
                  <w:rFonts w:ascii="Times New Roman;serif" w:hAnsi="Times New Roman;serif"/>
                  <w:b w:val="false"/>
                  <w:color w:val="0000FF"/>
                  <w:sz w:val="20"/>
                  <w:u w:val="single"/>
                </w:rPr>
                <w:t>43</w:t>
              </w:r>
            </w:hyperlink>
          </w:p>
        </w:tc>
      </w:tr>
      <w:tr>
        <w:tc>
          <w:tcPr>
            <w:tcW w:w="1531"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e0c00a7a1b3747cca0be3263a7bf0011_397">
              <w:r>
                <w:rPr>
                  <w:rStyle w:val="InternetLink"/>
                  <w:rFonts w:ascii="Times New Roman;serif" w:hAnsi="Times New Roman;serif"/>
                  <w:b w:val="false"/>
                  <w:color w:val="0000FF"/>
                  <w:sz w:val="20"/>
                  <w:u w:val="single"/>
                </w:rPr>
                <w:t>Item 6.</w:t>
              </w:r>
            </w:hyperlink>
          </w:p>
        </w:tc>
        <w:tc>
          <w:tcPr>
            <w:tcW w:w="816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e0c00a7a1b3747cca0be3263a7bf0011_397">
              <w:r>
                <w:rPr>
                  <w:rStyle w:val="InternetLink"/>
                  <w:rFonts w:ascii="Times New Roman;serif" w:hAnsi="Times New Roman;serif"/>
                  <w:b w:val="false"/>
                  <w:color w:val="0000FF"/>
                  <w:sz w:val="20"/>
                  <w:u w:val="single"/>
                </w:rPr>
                <w:t>Exhibits</w:t>
              </w:r>
            </w:hyperlink>
            <w:r>
              <w:rPr>
                <w:color w:val="000000"/>
              </w:rPr>
              <w:t xml:space="preserve">  </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e0c00a7a1b3747cca0be3263a7bf0011_397">
              <w:r>
                <w:rPr>
                  <w:rStyle w:val="InternetLink"/>
                  <w:rFonts w:ascii="Times New Roman;serif" w:hAnsi="Times New Roman;serif"/>
                  <w:b w:val="false"/>
                  <w:color w:val="0000FF"/>
                  <w:sz w:val="20"/>
                  <w:u w:val="single"/>
                </w:rPr>
                <w:t>44</w:t>
              </w:r>
            </w:hyperlink>
          </w:p>
        </w:tc>
      </w:tr>
      <w:t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before="0" w:after="0"/>
              <w:jc w:val="left"/>
            </w:p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e0c00a7a1b3747cca0be3263a7bf0011_451">
              <w:r>
                <w:rPr>
                  <w:rStyle w:val="InternetLink"/>
                  <w:rFonts w:ascii="Times New Roman;serif" w:hAnsi="Times New Roman;serif"/>
                  <w:b w:val="false"/>
                  <w:color w:val="0000FF"/>
                  <w:sz w:val="20"/>
                  <w:u w:val="single"/>
                </w:rPr>
                <w:t>SIGNATURES</w:t>
              </w:r>
            </w:hyperlink>
            <w:r>
              <w:rPr>
                <w:color w:val="000000"/>
              </w:rPr>
              <w:t xml:space="preserve">  </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e0c00a7a1b3747cca0be3263a7bf0011_451">
              <w:r>
                <w:rPr>
                  <w:rStyle w:val="InternetLink"/>
                  <w:rFonts w:ascii="Times New Roman;serif" w:hAnsi="Times New Roman;serif"/>
                  <w:b w:val="false"/>
                  <w:color w:val="0000FF"/>
                  <w:sz w:val="20"/>
                  <w:u w:val="single"/>
                </w:rPr>
                <w:t>45</w:t>
              </w:r>
            </w:hyperlink>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pPr>
      <w:hyperlink w:anchor="ie0c00a7a1b3747cca0be3263a7bf0011_16">
        <w:r>
          <w:rPr>
            <w:rStyle w:val="InternetLink"/>
            <w:rFonts w:ascii="Times New Roman;serif" w:hAnsi="Times New Roman;serif"/>
            <w:b/>
            <w:color w:val="0000FF"/>
            <w:sz w:val="20"/>
            <w:u w:val="single"/>
          </w:rPr>
          <w:t>Table of Contents</w:t>
        </w:r>
      </w:hyperlink>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LGI HOMES,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73"/>
        <w:gridCol w:w="2006"/>
        <w:gridCol w:w="2022"/>
        <w:gridCol w:w="109"/>
        <w:gridCol w:w="109"/>
        <w:gridCol w:w="109"/>
        <w:gridCol w:w="211"/>
        <w:gridCol w:w="977"/>
        <w:gridCol w:w="109"/>
        <w:gridCol w:w="109"/>
        <w:gridCol w:w="109"/>
        <w:gridCol w:w="109"/>
        <w:gridCol w:w="211"/>
        <w:gridCol w:w="976"/>
        <w:gridCol w:w="109"/>
        <w:gridCol w:w="157"/>
      </w:tblGrid>
      <w:tr>
        <w:tc>
          <w:tcPr>
            <w:tcW w:w="2773"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6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6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4"/>
            <w:tcBorders/>
          </w:tcPr>
          <w:p>
            <w:pPr>
              <w:pStyle w:val="TableContents"/>
              <w:bidi w:val="0"/>
              <w:spacing w:before="0" w:after="283"/>
              <w:jc w:val="left"/>
              <w:rPr>
                <w:sz w:val="4"/>
                <w:szCs w:val="4"/>
              </w:rPr>
            </w:pPr>
            <w:r>
              <w:rPr>
                <w:sz w:val="4"/>
                <w:szCs w:val="4"/>
              </w:rPr>
            </w:r>
          </w:p>
        </w:tc>
      </w:tr>
      <w:tr>
        <w:tc>
          <w:tcPr>
            <w:tcW w:w="6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157" w:type="dxa"/>
            <w:tcBorders/>
            <w:vAlign w:val="center"/>
          </w:tcPr>
          <w:p>
            <w:pPr>
              <w:pStyle w:val="TableContents"/>
              <w:bidi w:val="0"/>
              <w:spacing w:before="0" w:after="283"/>
              <w:jc w:val="left"/>
              <w:rPr>
                <w:sz w:val="4"/>
                <w:szCs w:val="4"/>
              </w:rPr>
            </w:pPr>
            <w:r>
              <w:rPr>
                <w:sz w:val="4"/>
                <w:szCs w:val="4"/>
              </w:rPr>
            </w:r>
          </w:p>
        </w:tc>
      </w:tr>
      <w:tr>
        <w:tc>
          <w:tcPr>
            <w:tcW w:w="6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7" w:type="dxa"/>
            <w:tcBorders/>
            <w:vAlign w:val="center"/>
          </w:tcPr>
          <w:p>
            <w:pPr>
              <w:pStyle w:val="TableContents"/>
              <w:bidi w:val="0"/>
              <w:spacing w:before="0" w:after="283"/>
              <w:jc w:val="left"/>
              <w:rPr>
                <w:sz w:val="4"/>
                <w:szCs w:val="4"/>
              </w:rPr>
            </w:pPr>
            <w:r>
              <w:rPr>
                <w:sz w:val="4"/>
                <w:szCs w:val="4"/>
              </w:rPr>
            </w:r>
          </w:p>
        </w:tc>
      </w:tr>
      <w:t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3,487,271 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Pre-acquisition costs and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3,936,449 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3,927,242 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6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1,776,023 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1,830,953 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6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$0.01, 250,000,000 shares authorized, 27,926,950 shares issued and 23,270,358 shares outstanding as of September 30, 2026 and 27,789,678 shares issued and 23,133,086 shares outstanding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4,656,592 shares as of September 30, 2026 and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2,160,426 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2,096,289 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3,936,449 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3,927,242 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pPr>
      <w:hyperlink w:anchor="ie0c00a7a1b3747cca0be3263a7bf0011_16">
        <w:r>
          <w:rPr>
            <w:rStyle w:val="InternetLink"/>
            <w:rFonts w:ascii="Times New Roman;serif" w:hAnsi="Times New Roman;serif"/>
            <w:b/>
            <w:color w:val="0000FF"/>
            <w:sz w:val="20"/>
            <w:u w:val="single"/>
          </w:rPr>
          <w:t>Table of Contents</w:t>
        </w:r>
      </w:hyperlink>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240" w:after="283"/>
        <w:jc w:val="center"/>
      </w:p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LGI HOMES,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pPr>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121"/>
        <w:gridCol w:w="980"/>
        <w:gridCol w:w="993"/>
        <w:gridCol w:w="109"/>
        <w:gridCol w:w="109"/>
        <w:gridCol w:w="109"/>
        <w:gridCol w:w="251"/>
        <w:gridCol w:w="974"/>
        <w:gridCol w:w="127"/>
        <w:gridCol w:w="127"/>
        <w:gridCol w:w="127"/>
        <w:gridCol w:w="127"/>
        <w:gridCol w:w="251"/>
        <w:gridCol w:w="974"/>
        <w:gridCol w:w="127"/>
        <w:gridCol w:w="109"/>
        <w:gridCol w:w="109"/>
        <w:gridCol w:w="109"/>
        <w:gridCol w:w="215"/>
        <w:gridCol w:w="1001"/>
        <w:gridCol w:w="111"/>
        <w:gridCol w:w="111"/>
        <w:gridCol w:w="111"/>
        <w:gridCol w:w="111"/>
        <w:gridCol w:w="215"/>
        <w:gridCol w:w="1001"/>
        <w:gridCol w:w="111"/>
        <w:gridCol w:w="109"/>
        <w:gridCol w:w="109"/>
        <w:gridCol w:w="167"/>
      </w:tblGrid>
      <w:tr>
        <w:tc>
          <w:tcPr>
            <w:tcW w:w="112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3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3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72" w:type="dxa"/>
            <w:gridSpan w:val="12"/>
            <w:tcBorders/>
          </w:tcPr>
          <w:p>
            <w:pPr>
              <w:pStyle w:val="TableContents"/>
              <w:bidi w:val="0"/>
              <w:spacing w:before="0" w:after="283"/>
              <w:jc w:val="left"/>
              <w:rPr>
                <w:sz w:val="4"/>
                <w:szCs w:val="4"/>
              </w:rPr>
            </w:pPr>
            <w:r>
              <w:rPr>
                <w:sz w:val="4"/>
                <w:szCs w:val="4"/>
              </w:rPr>
            </w:r>
          </w:p>
        </w:tc>
      </w:tr>
      <w:tr>
        <w:tc>
          <w:tcPr>
            <w:tcW w:w="3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3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3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3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437,507 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1,258,754 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1,231,537 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444,464 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403,501 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1,293,388 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1,275,131 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1,010,942 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962,104 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355,280 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316,232 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1,041,379 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999,545 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35,757 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35,661 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112,556 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119,602 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3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33,309 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26,701 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74,219 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74,465 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24,556 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19,704 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53,700 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3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2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2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3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23,331,728 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23,056,904 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23,210,620 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23,223,736 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23,466,066 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23,149,005 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23,281,055 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23,289,280 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pPr>
      <w:hyperlink w:anchor="ie0c00a7a1b3747cca0be3263a7bf0011_16">
        <w:r>
          <w:rPr>
            <w:rStyle w:val="InternetLink"/>
            <w:rFonts w:ascii="Times New Roman;serif" w:hAnsi="Times New Roman;serif"/>
            <w:b/>
            <w:color w:val="0000FF"/>
            <w:sz w:val="20"/>
            <w:u w:val="single"/>
          </w:rPr>
          <w:t>Table of Contents</w:t>
        </w:r>
      </w:hyperlink>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LGI HOMES,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before="0" w:after="0"/>
        <w:jc w:val="center"/>
      </w:pPr>
      <w:r/>
    </w:p>
    <w:tbl>
      <w:tblPr>
        <w:tblW w:w="10489" w:type="dxa"/>
        <w:jc w:val="center"/>
        <w:tblInd w:w="0" w:type="dxa"/>
        <w:tblLayout w:type="fixed"/>
        <w:tblCellMar>
          <w:top w:w="28" w:type="dxa"/>
          <w:left w:w="28" w:type="dxa"/>
          <w:bottom w:w="28" w:type="dxa"/>
          <w:right w:w="28" w:type="dxa"/>
        </w:tblCellMar>
      </w:tblPr>
      <w:tblGrid>
        <w:gridCol w:w="502"/>
        <w:gridCol w:w="401"/>
        <w:gridCol w:w="403"/>
        <w:gridCol w:w="109"/>
        <w:gridCol w:w="109"/>
        <w:gridCol w:w="109"/>
        <w:gridCol w:w="548"/>
        <w:gridCol w:w="548"/>
        <w:gridCol w:w="226"/>
        <w:gridCol w:w="109"/>
        <w:gridCol w:w="109"/>
        <w:gridCol w:w="109"/>
        <w:gridCol w:w="211"/>
        <w:gridCol w:w="481"/>
        <w:gridCol w:w="109"/>
        <w:gridCol w:w="109"/>
        <w:gridCol w:w="109"/>
        <w:gridCol w:w="109"/>
        <w:gridCol w:w="211"/>
        <w:gridCol w:w="841"/>
        <w:gridCol w:w="109"/>
        <w:gridCol w:w="109"/>
        <w:gridCol w:w="109"/>
        <w:gridCol w:w="109"/>
        <w:gridCol w:w="211"/>
        <w:gridCol w:w="991"/>
        <w:gridCol w:w="109"/>
        <w:gridCol w:w="109"/>
        <w:gridCol w:w="109"/>
        <w:gridCol w:w="109"/>
        <w:gridCol w:w="211"/>
        <w:gridCol w:w="841"/>
        <w:gridCol w:w="109"/>
        <w:gridCol w:w="109"/>
        <w:gridCol w:w="109"/>
        <w:gridCol w:w="109"/>
        <w:gridCol w:w="211"/>
        <w:gridCol w:w="991"/>
        <w:gridCol w:w="109"/>
        <w:gridCol w:w="154"/>
      </w:tblGrid>
      <w:tr>
        <w:tc>
          <w:tcPr>
            <w:tcW w:w="50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Equity</w:t>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116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131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116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1311" w:type="dxa"/>
            <w:gridSpan w:val="3"/>
            <w:vMerge w:val="continue"/>
            <w:tcBorders/>
            <w:tcMar>
              <w:top w:w="0" w:type="dxa"/>
              <w:left w:w="0" w:type="dxa"/>
              <w:bottom w:w="0" w:type="dxa"/>
              <w:right w:w="0" w:type="dxa"/>
            </w:tcMar>
            <w:vAlign w:val="center"/>
          </w:tcPr>
          <w:p>
            <w:pPr>
              <w:pStyle w:val="Normal"/>
              <w:bidi w:val="0"/>
              <w:jc w:val="left"/>
            </w:p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27,789,678</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277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347,307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2,158,339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(409,635)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2,096,289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granted for accrued annual bonuses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 for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under employee incentive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99,193 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27,888,871</w:t>
            </w:r>
            <w:r>
              <w:rPr>
                <w:color w:val="000000"/>
              </w:rPr>
              <w:t>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278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351,272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2,160,499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(409,635)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2,102,414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repurchase including excise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 for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under employee incentive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27,904,864</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279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354,476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2,187,483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(409,582)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2,132,656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 for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under employee incentive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27,926,950</w:t>
            </w:r>
            <w:r>
              <w:rPr>
                <w:color w:val="000000"/>
              </w:rPr>
              <w:t>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279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357,690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2,212,039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(409,582)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2,160,426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pPr>
      <w:hyperlink w:anchor="ie0c00a7a1b3747cca0be3263a7bf0011_16">
        <w:r>
          <w:rPr>
            <w:rStyle w:val="InternetLink"/>
            <w:rFonts w:ascii="Times New Roman;serif" w:hAnsi="Times New Roman;serif"/>
            <w:b/>
            <w:color w:val="0000FF"/>
            <w:sz w:val="20"/>
            <w:u w:val="single"/>
          </w:rPr>
          <w:t>Table of Contents</w:t>
        </w:r>
      </w:hyperlink>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tbl>
      <w:tblPr>
        <w:tblW w:w="10489" w:type="dxa"/>
        <w:jc w:val="center"/>
        <w:tblInd w:w="0" w:type="dxa"/>
        <w:tblLayout w:type="fixed"/>
        <w:tblCellMar>
          <w:top w:w="28" w:type="dxa"/>
          <w:left w:w="28" w:type="dxa"/>
          <w:bottom w:w="28" w:type="dxa"/>
          <w:right w:w="28" w:type="dxa"/>
        </w:tblCellMar>
      </w:tblPr>
      <w:tblGrid>
        <w:gridCol w:w="502"/>
        <w:gridCol w:w="401"/>
        <w:gridCol w:w="403"/>
        <w:gridCol w:w="109"/>
        <w:gridCol w:w="109"/>
        <w:gridCol w:w="109"/>
        <w:gridCol w:w="548"/>
        <w:gridCol w:w="548"/>
        <w:gridCol w:w="226"/>
        <w:gridCol w:w="109"/>
        <w:gridCol w:w="109"/>
        <w:gridCol w:w="109"/>
        <w:gridCol w:w="211"/>
        <w:gridCol w:w="481"/>
        <w:gridCol w:w="109"/>
        <w:gridCol w:w="109"/>
        <w:gridCol w:w="109"/>
        <w:gridCol w:w="109"/>
        <w:gridCol w:w="211"/>
        <w:gridCol w:w="841"/>
        <w:gridCol w:w="109"/>
        <w:gridCol w:w="109"/>
        <w:gridCol w:w="109"/>
        <w:gridCol w:w="109"/>
        <w:gridCol w:w="211"/>
        <w:gridCol w:w="991"/>
        <w:gridCol w:w="109"/>
        <w:gridCol w:w="109"/>
        <w:gridCol w:w="109"/>
        <w:gridCol w:w="109"/>
        <w:gridCol w:w="211"/>
        <w:gridCol w:w="841"/>
        <w:gridCol w:w="109"/>
        <w:gridCol w:w="109"/>
        <w:gridCol w:w="109"/>
        <w:gridCol w:w="109"/>
        <w:gridCol w:w="211"/>
        <w:gridCol w:w="991"/>
        <w:gridCol w:w="109"/>
        <w:gridCol w:w="154"/>
      </w:tblGrid>
      <w:tr>
        <w:tc>
          <w:tcPr>
            <w:tcW w:w="50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Equity</w:t>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116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131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116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1311" w:type="dxa"/>
            <w:gridSpan w:val="3"/>
            <w:vMerge w:val="continue"/>
            <w:tcBorders/>
            <w:tcMar>
              <w:top w:w="0" w:type="dxa"/>
              <w:left w:w="0" w:type="dxa"/>
              <w:bottom w:w="0" w:type="dxa"/>
              <w:right w:w="0" w:type="dxa"/>
            </w:tcMar>
            <w:vAlign w:val="center"/>
          </w:tcPr>
          <w:p>
            <w:pPr>
              <w:pStyle w:val="Normal"/>
              <w:bidi w:val="0"/>
              <w:jc w:val="left"/>
            </w:p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27,644,413</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276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337,161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2,085,787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(385,996)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2,037,228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granted for accrued annual bonuses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 for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under employee incentive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27,693,526</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277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341,515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2,089,781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(389,047)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2,042,526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 for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under employee incentive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27,713,227</w:t>
            </w:r>
            <w:r>
              <w:rPr>
                <w:color w:val="000000"/>
              </w:rPr>
              <w:t>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277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345,189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2,121,314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(409,635)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2,057,145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 for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under employee incentive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27,735,692</w:t>
            </w:r>
            <w:r>
              <w:rPr>
                <w:color w:val="000000"/>
              </w:rPr>
              <w:t>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277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347,714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2,141,018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(409,635)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2,079,374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pPr>
      <w:hyperlink w:anchor="ie0c00a7a1b3747cca0be3263a7bf0011_16">
        <w:r>
          <w:rPr>
            <w:rStyle w:val="InternetLink"/>
            <w:rFonts w:ascii="Times New Roman;serif" w:hAnsi="Times New Roman;serif"/>
            <w:b/>
            <w:color w:val="0000FF"/>
            <w:sz w:val="20"/>
            <w:u w:val="single"/>
          </w:rPr>
          <w:t>Table of Contents</w:t>
        </w:r>
      </w:hyperlink>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240" w:after="283"/>
        <w:jc w:val="center"/>
      </w:p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LGI HOMES,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pPr>
      <w:r>
        <w:rPr>
          <w:rFonts w:ascii="Times New Roman;serif" w:hAnsi="Times New Roman;serif"/>
          <w:b/>
          <w:color w:val="000000"/>
          <w:sz w:val="20"/>
        </w:rPr>
        <w:t>(In thousands)</w:t>
      </w:r>
      <w:r>
        <w:rPr>
          <w:color w:val="000000"/>
        </w:rPr>
        <w:t> </w:t>
      </w:r>
    </w:p>
    <w:tbl>
      <w:tblPr>
        <w:tblW w:w="10009" w:type="dxa"/>
        <w:jc w:val="center"/>
        <w:tblInd w:w="0" w:type="dxa"/>
        <w:tblLayout w:type="fixed"/>
        <w:tblCellMar>
          <w:top w:w="28" w:type="dxa"/>
          <w:left w:w="28" w:type="dxa"/>
          <w:bottom w:w="28" w:type="dxa"/>
          <w:right w:w="28" w:type="dxa"/>
        </w:tblCellMar>
      </w:tblPr>
      <w:tblGrid>
        <w:gridCol w:w="2283"/>
        <w:gridCol w:w="2009"/>
        <w:gridCol w:w="2023"/>
        <w:gridCol w:w="109"/>
        <w:gridCol w:w="109"/>
        <w:gridCol w:w="109"/>
        <w:gridCol w:w="262"/>
        <w:gridCol w:w="898"/>
        <w:gridCol w:w="135"/>
        <w:gridCol w:w="135"/>
        <w:gridCol w:w="135"/>
        <w:gridCol w:w="135"/>
        <w:gridCol w:w="262"/>
        <w:gridCol w:w="898"/>
        <w:gridCol w:w="135"/>
        <w:gridCol w:w="109"/>
        <w:gridCol w:w="109"/>
        <w:gridCol w:w="154"/>
      </w:tblGrid>
      <w:tr>
        <w:tc>
          <w:tcPr>
            <w:tcW w:w="2283"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67" w:type="dxa"/>
            <w:gridSpan w:val="6"/>
            <w:tcBorders/>
          </w:tcPr>
          <w:p>
            <w:pPr>
              <w:pStyle w:val="TableContents"/>
              <w:bidi w:val="0"/>
              <w:spacing w:before="0" w:after="283"/>
              <w:jc w:val="left"/>
              <w:rPr>
                <w:sz w:val="4"/>
                <w:szCs w:val="4"/>
              </w:rPr>
            </w:pPr>
            <w:r>
              <w:rPr>
                <w:sz w:val="4"/>
                <w:szCs w:val="4"/>
              </w:rPr>
            </w:r>
          </w:p>
        </w:tc>
      </w:tr>
      <w:tr>
        <w:tc>
          <w:tcPr>
            <w:tcW w:w="6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of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of earnings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disposal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 for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(318,064)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Pre-acquisition costs and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97,956 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(226,749)</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31,824 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14,306 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235,541 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594,644 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(352,000)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(323,000)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financing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(121,590)</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221,225 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8,190 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8,782 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61,247 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53,197 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69,437 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61,979 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pPr>
      <w:hyperlink w:anchor="ie0c00a7a1b3747cca0be3263a7bf0011_16">
        <w:r>
          <w:rPr>
            <w:rStyle w:val="InternetLink"/>
            <w:rFonts w:ascii="Times New Roman;serif" w:hAnsi="Times New Roman;serif"/>
            <w:b/>
            <w:color w:val="0000FF"/>
            <w:sz w:val="20"/>
            <w:u w:val="single"/>
          </w:rPr>
          <w:t>Table of Contents</w:t>
        </w:r>
      </w:hyperlink>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LGI HOMES,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ORGANIZATION AND BASIS OF PRESENTATION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Organization and Description of the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LGI Homes, Inc., a Delaware corporation (the “Company”, “we,” “us,” or “our”), is headquartered in The Woodlands, Texas. The primary aspects of our business are the development of communities and the design, construction and sale of new homes in markets in Texas, Arizona, Florida, Georgia, New Mexico, Colorado, North Carolina, South Carolina, Washington, Tennessee, Minnesota, Oklahoma, Alabama, California, Oregon, Nevada, West Virginia, Virginia, Pennsylvania, Maryland and Utah.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Basis of Presentation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have been prepared in accordance with U.S. Generally Accepted Accounting Principles (“GAAP”) for interim financial information and with the instructions to Form 10-Q and Article 10 of Regulation S-X. Accordingly, they do not include all of the information and footnotes required by GAAP for complete financial statements. These financial statements should be read in conjunction with the consolidated financial statements included in our Annual Report on Form 10-K for the fiscal year ended December 31, 2025. In the opinion of management, the accompanying unaudited condensed consolidated financial statements include all adjustments that are of a normal recurring nature and necessary for the fair presentation of our results for the interim periods presented. Results for interim periods are not necessarily indicative of results to be expected for the full year.</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financial statements as of September 30, 2026, and for the three and nine months ended September 30, 2026 and 2025, include the accounts of the Company and its subsidiaries. All intercompany balances and transactions have been eliminated in consolidation.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 and these differences could have a significant impact on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November 2024, the Financial Accounting Standards Board (the “FASB”) issued Accounting Standards Update (“ASU”) 2024-03, “Income Statement-Reporting Comprehensive Income-Expense Disaggregation Disclosures (Subtopic 220-40): Disaggregation of Income Statement Expenses” (“ASU 2024-03”), which requires disclosure of certain costs and expenses on an interim and annual basis in the notes to the financial statements. The amendments in this update are to be applied on a prospective basis, with the option for retrospective application. The guidance is effective for annual reporting periods beginning after December 15, 2026, and interim periods within annual reporting periods beginning after December 15, 2027. Early adoption is permitted. We are currently evaluating the impact that this standard will have on our disclosures.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which lists the disclosures required under ASC 270 and establishes a disclosure principle. The disclosure principle requires entities issuing condensed statements to disclose events occurring since the end of the most recent fiscal year that have a material impact on the entity. The amendments in this update are to be applied on a prospective basis, with the option for retrospective application. The guidance is effective for annual reporting periods beginning after December 15, 2027. We are currently evaluating the impact that this standard will have on our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pPr>
      <w:hyperlink w:anchor="ie0c00a7a1b3747cca0be3263a7bf0011_16">
        <w:r>
          <w:rPr>
            <w:rStyle w:val="InternetLink"/>
            <w:rFonts w:ascii="Times New Roman;serif" w:hAnsi="Times New Roman;serif"/>
            <w:b/>
            <w:color w:val="0000FF"/>
            <w:sz w:val="20"/>
            <w:u w:val="single"/>
          </w:rPr>
          <w:t>Table of Contents</w:t>
        </w:r>
      </w:hyperlink>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REAL ESTATE INVENTORY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real estate inventory consists of the following (in thousands):</w:t>
      </w:r>
    </w:p>
    <w:tbl>
      <w:tblPr>
        <w:tblW w:w="7413" w:type="dxa"/>
        <w:jc w:val="left"/>
        <w:tblInd w:w="0" w:type="dxa"/>
        <w:tblLayout w:type="fixed"/>
        <w:tblCellMar>
          <w:top w:w="28" w:type="dxa"/>
          <w:left w:w="28" w:type="dxa"/>
          <w:bottom w:w="28" w:type="dxa"/>
          <w:right w:w="28" w:type="dxa"/>
        </w:tblCellMar>
      </w:tblPr>
      <w:tblGrid>
        <w:gridCol w:w="1452"/>
        <w:gridCol w:w="1273"/>
        <w:gridCol w:w="1280"/>
        <w:gridCol w:w="109"/>
        <w:gridCol w:w="109"/>
        <w:gridCol w:w="109"/>
        <w:gridCol w:w="212"/>
        <w:gridCol w:w="983"/>
        <w:gridCol w:w="109"/>
        <w:gridCol w:w="109"/>
        <w:gridCol w:w="109"/>
        <w:gridCol w:w="109"/>
        <w:gridCol w:w="211"/>
        <w:gridCol w:w="976"/>
        <w:gridCol w:w="109"/>
        <w:gridCol w:w="154"/>
      </w:tblGrid>
      <w:tr>
        <w:tc>
          <w:tcPr>
            <w:tcW w:w="145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4"/>
            <w:tcBorders/>
          </w:tcPr>
          <w:p>
            <w:pPr>
              <w:pStyle w:val="TableContents"/>
              <w:bidi w:val="0"/>
              <w:spacing w:before="0" w:after="283"/>
              <w:jc w:val="left"/>
              <w:rPr>
                <w:sz w:val="4"/>
                <w:szCs w:val="4"/>
              </w:rPr>
            </w:pPr>
            <w:r>
              <w:rPr>
                <w:sz w:val="4"/>
                <w:szCs w:val="4"/>
              </w:rPr>
            </w:r>
          </w:p>
        </w:tc>
      </w:tr>
      <w:t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154" w:type="dxa"/>
            <w:tcBorders/>
            <w:vAlign w:val="center"/>
          </w:tcPr>
          <w:p>
            <w:pPr>
              <w:pStyle w:val="TableContents"/>
              <w:bidi w:val="0"/>
              <w:spacing w:before="0" w:after="283"/>
              <w:jc w:val="left"/>
              <w:rPr>
                <w:sz w:val="4"/>
                <w:szCs w:val="4"/>
              </w:rPr>
            </w:pPr>
            <w:r>
              <w:rPr>
                <w:sz w:val="4"/>
                <w:szCs w:val="4"/>
              </w:rPr>
            </w:r>
          </w:p>
        </w:tc>
      </w:tr>
      <w:t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4" w:type="dxa"/>
            <w:tcBorders/>
            <w:vAlign w:val="center"/>
          </w:tcPr>
          <w:p>
            <w:pPr>
              <w:pStyle w:val="TableContents"/>
              <w:bidi w:val="0"/>
              <w:spacing w:before="0" w:after="283"/>
              <w:jc w:val="left"/>
              <w:rPr>
                <w:sz w:val="4"/>
                <w:szCs w:val="4"/>
              </w:rPr>
            </w:pPr>
            <w:r>
              <w:rPr>
                <w:sz w:val="4"/>
                <w:szCs w:val="4"/>
              </w:rPr>
            </w:r>
          </w:p>
        </w:tc>
      </w:tr>
      <w:t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land under development and finished lots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2,601,578 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Completed homes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Homes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Information centers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owned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3,487,271 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3,547,626 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Real estate not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 estate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3,487,271 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3,555,602 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real estate not owned relates to land banking financing arrangements with a third-party land banker to repurchase land that we sold to the land banker as a method of acquiring finished lots in staged takedowns, while limiting risk and minimizing the use of funds from our available cash or other financing sources. As of June 30, 2026, we completed the repurchase of all lots via takedowns associated with these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build and lease a number of single-family homes in select, existing communities. During the nine months ended September 30, 2026 and 2025, we transferred $113.8 million and $58.3 million, respectively, of home assets from real estate inventory to assets held for lease within property and equipment, net.</w:t>
      </w:r>
    </w:p>
    <w:p>
      <w:pPr>
        <w:pStyle w:val="TextBody"/>
        <w:bidi w:val="0"/>
        <w:spacing w:lineRule="auto" w:line="288" w:before="120" w:after="283"/>
        <w:ind w:left="0" w:right="0" w:firstLine="450"/>
        <w:jc w:val="both"/>
      </w:pPr>
      <w:r>
        <w:rPr>
          <w:rFonts w:ascii="Times New Roman;serif" w:hAnsi="Times New Roman;serif"/>
          <w:b w:val="false"/>
          <w:color w:val="000000"/>
          <w:sz w:val="20"/>
        </w:rPr>
        <w:t xml:space="preserve">During the nine months ended September 30, 2026, we reclassified land held for sale of $35.0 million as of December 31, 2025, from other assets to real estate inventory on the condensed consolidated balance sheet and $29.2 million for the nine months ended September 30, 2025 from other assets to real estate inventory on the condensed consolidated statements of cash flow. We made this reclassification to align the presentation of these assets with the classification of the related sales, which are now recorded within revenue rather than other income (see </w:t>
      </w:r>
      <w:hyperlink w:anchor="ie0c00a7a1b3747cca0be3263a7bf0011_229">
        <w:r>
          <w:rPr>
            <w:rStyle w:val="InternetLink"/>
            <w:rFonts w:ascii="Times New Roman;serif" w:hAnsi="Times New Roman;serif"/>
            <w:b w:val="false"/>
            <w:color w:val="0000FF"/>
            <w:sz w:val="20"/>
            <w:u w:val="single"/>
          </w:rPr>
          <w:t>Note 11</w:t>
        </w:r>
      </w:hyperlink>
      <w:r>
        <w:rPr>
          <w:rFonts w:ascii="Times New Roman;serif" w:hAnsi="Times New Roman;serif"/>
          <w:b w:val="false"/>
          <w:color w:val="000000"/>
          <w:sz w:val="20"/>
        </w:rPr>
        <w:t>). This reclassification had no impact on our previously reported total assets or total operating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ACCRUED EXPENSES AND OTHER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 consist of the following (in thousands):</w:t>
      </w:r>
    </w:p>
    <w:tbl>
      <w:tblPr>
        <w:tblW w:w="8536" w:type="dxa"/>
        <w:jc w:val="left"/>
        <w:tblInd w:w="0" w:type="dxa"/>
        <w:tblLayout w:type="fixed"/>
        <w:tblCellMar>
          <w:top w:w="28" w:type="dxa"/>
          <w:left w:w="28" w:type="dxa"/>
          <w:bottom w:w="28" w:type="dxa"/>
          <w:right w:w="28" w:type="dxa"/>
        </w:tblCellMar>
      </w:tblPr>
      <w:tblGrid>
        <w:gridCol w:w="1833"/>
        <w:gridCol w:w="1607"/>
        <w:gridCol w:w="1615"/>
        <w:gridCol w:w="109"/>
        <w:gridCol w:w="109"/>
        <w:gridCol w:w="109"/>
        <w:gridCol w:w="240"/>
        <w:gridCol w:w="941"/>
        <w:gridCol w:w="124"/>
        <w:gridCol w:w="109"/>
        <w:gridCol w:w="109"/>
        <w:gridCol w:w="109"/>
        <w:gridCol w:w="232"/>
        <w:gridCol w:w="908"/>
        <w:gridCol w:w="119"/>
        <w:gridCol w:w="109"/>
        <w:gridCol w:w="154"/>
      </w:tblGrid>
      <w:tr>
        <w:tc>
          <w:tcPr>
            <w:tcW w:w="1833"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5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inventory development and construction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58,730 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57,103 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bonuses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related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banking financing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164,176 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157,971 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Land Banking Financing Arrangements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had land banking financing arrangements with a third-party land banker to repurchase land that we sold to the land banker as a method of acquiring finished lots in staged takedowns. Principal payments on these financing arrangements will generally coincide with the repurchase of lot takedowns from the land banker. As of June 30, 2026, we completed the repurchase of all lots via takedowns associated with these transactions.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pPr>
      <w:hyperlink w:anchor="ie0c00a7a1b3747cca0be3263a7bf0011_16">
        <w:r>
          <w:rPr>
            <w:rStyle w:val="InternetLink"/>
            <w:rFonts w:ascii="Times New Roman;serif" w:hAnsi="Times New Roman;serif"/>
            <w:b/>
            <w:color w:val="0000FF"/>
            <w:sz w:val="20"/>
            <w:u w:val="single"/>
          </w:rPr>
          <w:t>Table of Contents</w:t>
        </w:r>
      </w:hyperlink>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Inventory Related Obligations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own lots in certain communities in Florida and Texas that have Community Development Districts or similar utility and infrastructure development special assessment programs that allocate a fixed amount of debt service associated with development activities to each lot. This obligation for infrastructure development is attached to the land and is ultimately assumed by the homebuyer when home sales are closed. The obligations assumed by the homebuyer represent a non-cash cost of the lots.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Warranty Reserves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generally provide homebuyers with a one-year warranty on the house and a limited warranty for major defects in structural elements, such as framing components and foundation systems, typically ranging from six to ten years depending on the applicable state.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Changes to our warranty accrual are as follows (in thousands):</w:t>
      </w:r>
    </w:p>
    <w:tbl>
      <w:tblPr>
        <w:tblW w:w="10205" w:type="dxa"/>
        <w:jc w:val="left"/>
        <w:tblInd w:w="0" w:type="dxa"/>
        <w:tblLayout w:type="fixed"/>
        <w:tblCellMar>
          <w:top w:w="28" w:type="dxa"/>
          <w:left w:w="28" w:type="dxa"/>
          <w:bottom w:w="28" w:type="dxa"/>
          <w:right w:w="28" w:type="dxa"/>
        </w:tblCellMar>
      </w:tblPr>
      <w:tblGrid>
        <w:gridCol w:w="1147"/>
        <w:gridCol w:w="994"/>
        <w:gridCol w:w="1000"/>
        <w:gridCol w:w="109"/>
        <w:gridCol w:w="109"/>
        <w:gridCol w:w="109"/>
        <w:gridCol w:w="269"/>
        <w:gridCol w:w="921"/>
        <w:gridCol w:w="139"/>
        <w:gridCol w:w="139"/>
        <w:gridCol w:w="139"/>
        <w:gridCol w:w="139"/>
        <w:gridCol w:w="269"/>
        <w:gridCol w:w="921"/>
        <w:gridCol w:w="139"/>
        <w:gridCol w:w="109"/>
        <w:gridCol w:w="109"/>
        <w:gridCol w:w="109"/>
        <w:gridCol w:w="258"/>
        <w:gridCol w:w="887"/>
        <w:gridCol w:w="133"/>
        <w:gridCol w:w="133"/>
        <w:gridCol w:w="133"/>
        <w:gridCol w:w="133"/>
        <w:gridCol w:w="258"/>
        <w:gridCol w:w="887"/>
        <w:gridCol w:w="133"/>
        <w:gridCol w:w="109"/>
        <w:gridCol w:w="109"/>
        <w:gridCol w:w="162"/>
      </w:tblGrid>
      <w:tr>
        <w:tc>
          <w:tcPr>
            <w:tcW w:w="114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658" w:type="dxa"/>
            <w:gridSpan w:val="6"/>
            <w:tcBorders/>
          </w:tcPr>
          <w:p>
            <w:pPr>
              <w:pStyle w:val="TableContents"/>
              <w:bidi w:val="0"/>
              <w:spacing w:before="0" w:after="283"/>
              <w:jc w:val="left"/>
              <w:rPr>
                <w:sz w:val="4"/>
                <w:szCs w:val="4"/>
              </w:rPr>
            </w:pPr>
            <w:r>
              <w:rPr>
                <w:sz w:val="4"/>
                <w:szCs w:val="4"/>
              </w:rPr>
            </w:r>
          </w:p>
        </w:tc>
      </w:tr>
      <w:tr>
        <w:tc>
          <w:tcPr>
            <w:tcW w:w="3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reserves,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16,100 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reserves,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15,200 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15,200 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NOTES PAYABLE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Revolving Credit Agreement</w:t>
      </w:r>
    </w:p>
    <w:p>
      <w:pPr>
        <w:pStyle w:val="TextBody"/>
        <w:bidi w:val="0"/>
        <w:spacing w:lineRule="auto" w:line="26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 party to the Fifth Amended and Restated Credit Agreement, dated as of April 28, 2021, with several financial institutions, and Wells Fargo Bank, National Association, as administrative agent (as amended, restated, supplemented or otherwise modified through August 1, 2025, the “2025 Credit Agreement”). The 2025 Credit Agreement provides for a $1.1825 billion revolving credit facility, which can be increased at the request of the Company by up to $95.0 million, subject to the terms and conditions of the 2025 Credit Agreement. The 2025 Credit Agreement matures on April 28, 2029 with respect to $972.5 million, or 82.2%, of the $1.1825 billion of commitments thereunder and on April 28, 2028 with respect to 17.8% of the commitments thereunder.</w:t>
      </w:r>
    </w:p>
    <w:p>
      <w:pPr>
        <w:pStyle w:val="TextBody"/>
        <w:bidi w:val="0"/>
        <w:spacing w:lineRule="auto" w:line="26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Before each anniversary of the 2025 Credit Agreement, we may request a one-year extension of its maturity date. The 2025 Credit Agreement is guaranteed by, among others, each of our subsidiaries that have gross assets of at least $0.5 million, other than subsidiaries whose sole purpose is to own and operate single-family rental homes.</w:t>
      </w:r>
    </w:p>
    <w:p>
      <w:pPr>
        <w:pStyle w:val="TextBody"/>
        <w:bidi w:val="0"/>
        <w:spacing w:lineRule="auto" w:line="26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borrowings and letters of credit outstanding under the 2025 Credit Agreement, together with the outstanding principal balance of our 8.750% Senior Notes due 2028 (the “2028 Senior Notes”), our 4.000% Senior Notes due 2029 (the “2029 Senior Notes”) and our 7.000% Senior Notes due 2032 (the “2032 Senior Notes”), may not exceed the borrowing base under the 2025 Credit Agreement. The borrowing base primarily consists of a percentage of commercial land, land held for development, lots under development and finished lots held by the Company and its subsidiaries that guarantee the obligations under the 2025 Credit Agreement. As of September 30, 2026, the borrowing base under the 2025 Credit Agreement was $1.9 billion, of which the maximum available to borrow was $1.9 billion. As of September 30, 2026, borrowings under the 2025 Credit Agreement and the outstanding principal amount of the 2028 Senior Notes, the 2029 Senior Notes and the 2032 Senior Notes totaled approximately $1.5 billion, $23.7 million of letters of credit were outstanding and $378.3 million was available to borrow under the 2025 Credit Agreement.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Borrowings under the 2025 Credit Agreement bear interest, payable monthly in arrears, at the Company’s option, at either (1) the Adjusted Term SOFR (defined as a term SOFR that is based on a fixed 1, 3 or 6 month interest period, as selected by the Company, plus a 10, 15 or 25 basis point adjustment, respectively), which rate is subject to a 50 basis point floor, plus an applicable margin ranging from 145 basis points to 210 basis points (the “Applicable Margin”) based on the Company’s leverage ratio as determined in accordance with a pricing grid, or (2) the Base Rate (defined as a term SOFR that is based on a daily variable 1 month interest period plus a 10 basis point adjustment), subject to a 50 basis point floor, plus the Applicable Margin. At September 30, 2026, the Applicable Margin was 1.75% (1.85% including the 0.10% credit spread adjustment), and SOFR was 3.90%, subject to the 0.50% SOFR floor as included in the 2025 Credit Agreement.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2025 Credit Agreement contains various financial covenants, including a minimum tangible net worth, a maximum leverage ratio, a minimum liquidity amount and a minimum EBITDA to interest expense ratio. The 2025 Credit Agreement contains various covenants that, among other restrictions, (i) limit the amount of our additional debt and our ability to make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pPr>
      <w:hyperlink w:anchor="ie0c00a7a1b3747cca0be3263a7bf0011_16">
        <w:r>
          <w:rPr>
            <w:rStyle w:val="InternetLink"/>
            <w:rFonts w:ascii="Times New Roman;serif" w:hAnsi="Times New Roman;serif"/>
            <w:b/>
            <w:color w:val="0000FF"/>
            <w:sz w:val="20"/>
            <w:u w:val="single"/>
          </w:rPr>
          <w:t>Table of Contents</w:t>
        </w:r>
      </w:hyperlink>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certain investments and (ii) restrict the repurchase of shares and payment of dividends through December 31, 2026. At September 30, 2026, we were in compliance with all of the covenants contained in the 2025 Credit Agreement.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October 9, 2026, we entered into a Seventh Amendment to Fifth Amended and Restated Credit Agreement with several financial institutions and Wells Fargo Bank, National Association, as administrative agent (the “Seventh Amendment”), which amended the 2025 Credit Agreement (as so amended by the Seventh Amendment, the “Credit Agreement”). The Seventh Amendment, among other things, (a) extended the maturity of the commitments of certain lenders under the Credit Agreement to October 9, 2030, (b) provided for aggregate revolving commitments in an amount of approximately $1.166 billion with a $175.0 million incremental facility, and (c) modified borrowing base values and certain financial and other covenants. The Credit Agreement matures on October 9, 2030 with respect to $855.0 million, or 73.3%, of the approximately $1.166 billion of commitments thereunder, on April 28, 2029 with respect to 18.4% of the commitments thereunder and on April 28, 2028 with respect to 8.3% of the commitments thereunder. The Credit Agreement otherwise has substantially similar terms and provisions to the 2025 Credit Agreement.</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LGI Living Loan Agreement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July 23, 2025, the Company’s wholly owned special purpose subsidiary LGI Living - SFR 1, LLC (“LGI Living SFR”) entered into a Loan Agreement (the “LGI Living Loan Agreement”) with Evergreen Residential Capital, LLC, as lender. The LGI Living Loan Agreement provides for a secured non-recourse loan for up to $50.0 million, which can be increased at the request of LGI Living SFR by up to $75.0 million (for a total of $125.0 million), subject to the terms and conditions of the LGI Living Loan Agreement.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2026, the total amount of borrowings outstanding under the LGI Living Loan Agreement was $50.0 million. The loan matures on July 8, 2030 and bears interest at a rate of 6.433% per annum, which may be adjusted in connection with an increase in the amount of the loan. The loan is unconditionally guaranteed as to payment and performance by the Company under a limited recourse guaranty with respect to (i) certain losses and liabilities to the extent such losses or liabilities are actually incurred by the lender and (ii) the entire amount of the loan upon the occurrence of certain events. The LGI Living Loan Agreement requires that the Company, as guarantor, maintain (i) liquidity of not less than 15% of the loan amount and (ii) net worth in excess of 50% of the loan amount.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loan is unconditionally guaranteed as to payment and performance by LGI Living - ER FIN, LLC, as the direct owner of the equity interests in LGI Living SFR, but recourse under such guaranty is limited to LGI Living - ER FIN, LLC’s equity interests in LGI Living SFR, which are pledged as collateral for the loan. The loan is also secured by a security interest in all assets of LGI Living SFR, including a mortgage lien on certain of LGI Living SFR’s real property. The LGI Living Loan Agreement includes certain restrictive covenants that may limit LGI Living SFR’s ability to, among other things, incur additional indebtedness or make certain investments. The LGI Living Loan Agreement contains representations and warranties, affirmative covenants, and events of default, all of which the Company believes are customary for special purpose subsidiary real estate secured loan agreements. If an event of default exists under the LGI Living Loan Agreement, the lender will be able to accelerate the maturity of the loan and exercise other rights and remedies. At September 30, 2026, we were in compliance with all of the covenants contained in the LGI Living Loan Agreement.</w:t>
      </w:r>
    </w:p>
    <w:p>
      <w:pPr>
        <w:pStyle w:val="TextBody"/>
        <w:bidi w:val="0"/>
        <w:spacing w:lineRule="auto" w:line="268" w:before="120" w:after="283"/>
        <w:jc w:val="both"/>
        <w:rPr>
          <w:rFonts w:ascii="Times New Roman;serif" w:hAnsi="Times New Roman;serif"/>
          <w:b/>
          <w:color w:val="000000"/>
          <w:sz w:val="20"/>
        </w:rPr>
      </w:pPr>
      <w:r>
        <w:rPr>
          <w:rFonts w:ascii="Times New Roman;serif" w:hAnsi="Times New Roman;serif"/>
          <w:b/>
          <w:color w:val="000000"/>
          <w:sz w:val="20"/>
        </w:rPr>
        <w:t>Senior Notes Offering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November 15, 2024, we issued $400.0 million aggregate principal amount of the 2032 Senior Notes in an offering to persons reasonably believed to be qualified institutional buyers in the United States pursuant to Rule 144A (“Rule 144A”) under the Securities Act of 1933, as amended (the “Securities Act”), and to certain non-U.S. persons in transactions outside the United States pursuant to Regulation S (“Regulation S”) under the Securities Act. Interest on the 2032 Senior Notes accrues at a rate of 7.000% per annum, payable semi-annually in arrears on May 15 and November 15 of each year. The 2032 Senior Notes mature on November 15, 2032. The terms of the 2032 Senior Notes are governed by an Indenture, dated as of July 6, 2018, and Fifth Supplemental Indenture thereto, dated as of November 15, 2024, as may be supplemented from time to time, among us, our subsidiaries that guarantee our obligations under the Credit Agreement and Regions Bank, as trustee.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November 21, 2023, we issued $400.0 million aggregate principal amount of the 2028 Senior Notes in an offering to persons reasonably believed to be qualified institutional buyers in the United States pursuant to Rule 144A and to certain non-U.S. persons in transactions outside the United States pursuant to Regulation S. Interest on the 2028 Senior Notes accrues at a rate of 8.750% per annum, payable semi-annually in arrears on June 15 and December 15 of each year. The 2028 Senior Notes mature on December 15, 2028. The terms of the 2028 Senior Notes are governed by an Indenture, dated as of July 6, 2018, and Fourth Supplemental Indenture thereto, dated as of November 21, 2023, as may be supplemented from time to time, among us, our subsidiaries that guarantee our obligations under the Credit Agreement and Regions Bank, as trustee.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June 28, 2021, we issued $300.0 million aggregate principal amount of the 2029 Senior Notes in an offering to persons reasonably believed to be qualified institutional buyers in the United States pursuant to Rule 144A and to certain non-U.S. persons in transactions outside the United States pursuant to Regulation S. Interest on the 2029 Senior Notes accrues at a rate of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pPr>
      <w:hyperlink w:anchor="ie0c00a7a1b3747cca0be3263a7bf0011_16">
        <w:r>
          <w:rPr>
            <w:rStyle w:val="InternetLink"/>
            <w:rFonts w:ascii="Times New Roman;serif" w:hAnsi="Times New Roman;serif"/>
            <w:b/>
            <w:color w:val="0000FF"/>
            <w:sz w:val="20"/>
            <w:u w:val="single"/>
          </w:rPr>
          <w:t>Table of Contents</w:t>
        </w:r>
      </w:hyperlink>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4.000% per annum, payable semi-annually in arrears on January 15 and July 15 of each year. The 2029 Senior Notes mature on July 15, 2029. The terms of the 2029 Senior Notes are governed by an Indenture, dated as of July 6, 2018, and Third Supplemental Indenture thereto, dated as of June 28, 2021, as may be supplemented from time to time, among us, our subsidiaries that guarantee our obligations under the Credit Agreement and Wilmington Trust, National Association, as trustee.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Notes payable consist of the following (in thousands):</w:t>
      </w:r>
    </w:p>
    <w:tbl>
      <w:tblPr>
        <w:tblW w:w="10205" w:type="dxa"/>
        <w:jc w:val="left"/>
        <w:tblInd w:w="0" w:type="dxa"/>
        <w:tblLayout w:type="fixed"/>
        <w:tblCellMar>
          <w:top w:w="28" w:type="dxa"/>
          <w:left w:w="28" w:type="dxa"/>
          <w:bottom w:w="28" w:type="dxa"/>
          <w:right w:w="28" w:type="dxa"/>
        </w:tblCellMar>
      </w:tblPr>
      <w:tblGrid>
        <w:gridCol w:w="2463"/>
        <w:gridCol w:w="2164"/>
        <w:gridCol w:w="2175"/>
        <w:gridCol w:w="109"/>
        <w:gridCol w:w="109"/>
        <w:gridCol w:w="109"/>
        <w:gridCol w:w="211"/>
        <w:gridCol w:w="977"/>
        <w:gridCol w:w="109"/>
        <w:gridCol w:w="109"/>
        <w:gridCol w:w="109"/>
        <w:gridCol w:w="109"/>
        <w:gridCol w:w="211"/>
        <w:gridCol w:w="976"/>
        <w:gridCol w:w="109"/>
        <w:gridCol w:w="156"/>
      </w:tblGrid>
      <w:tr>
        <w:tc>
          <w:tcPr>
            <w:tcW w:w="2463"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6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6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4"/>
            <w:tcBorders/>
          </w:tcPr>
          <w:p>
            <w:pPr>
              <w:pStyle w:val="TableContents"/>
              <w:bidi w:val="0"/>
              <w:spacing w:before="0" w:after="283"/>
              <w:jc w:val="left"/>
              <w:rPr>
                <w:sz w:val="4"/>
                <w:szCs w:val="4"/>
              </w:rPr>
            </w:pPr>
            <w:r>
              <w:rPr>
                <w:sz w:val="4"/>
                <w:szCs w:val="4"/>
              </w:rPr>
            </w:r>
          </w:p>
        </w:tc>
      </w:tr>
      <w:tr>
        <w:tc>
          <w:tcPr>
            <w:tcW w:w="6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156" w:type="dxa"/>
            <w:tcBorders/>
            <w:vAlign w:val="center"/>
          </w:tcPr>
          <w:p>
            <w:pPr>
              <w:pStyle w:val="TableContents"/>
              <w:bidi w:val="0"/>
              <w:spacing w:before="0" w:after="283"/>
              <w:jc w:val="left"/>
              <w:rPr>
                <w:sz w:val="4"/>
                <w:szCs w:val="4"/>
              </w:rPr>
            </w:pPr>
            <w:r>
              <w:rPr>
                <w:sz w:val="4"/>
                <w:szCs w:val="4"/>
              </w:rPr>
            </w:r>
          </w:p>
        </w:tc>
      </w:tr>
      <w:tr>
        <w:tc>
          <w:tcPr>
            <w:tcW w:w="6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6" w:type="dxa"/>
            <w:tcBorders/>
            <w:vAlign w:val="center"/>
          </w:tcPr>
          <w:p>
            <w:pPr>
              <w:pStyle w:val="TableContents"/>
              <w:bidi w:val="0"/>
              <w:spacing w:before="0" w:after="283"/>
              <w:jc w:val="left"/>
              <w:rPr>
                <w:sz w:val="4"/>
                <w:szCs w:val="4"/>
              </w:rPr>
            </w:pPr>
            <w:r>
              <w:rPr>
                <w:sz w:val="4"/>
                <w:szCs w:val="4"/>
              </w:rPr>
            </w:r>
          </w:p>
        </w:tc>
      </w:tr>
      <w:t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payable under the 2025 Credit Agreement ($1.1825 billion revolving credit facility at September 30, 2026, maturing in part on April 28, 2028 and in part on April 28, 2029, with interest paid monthly at SOFR plus 1.75%; $1.1825 billion revolving credit facility at December 31, 2025, maturing in part on April 28, 2028 and in part on April 28, 2029, with interest paid monthly at SOFR plus 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8.750% Senior Notes due December 15, 2028; interest paid semi-annually at 8.750%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4.000% Senior Notes due July 15, 2029; interest paid semi-annually at 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7.000% Senior Notes due November 15, 2032; interest paid semi-annually at 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Loan payable under the LGI Living Loan Agreement maturing on July 8, 2030; with interest paid monthly at an annual rate of 6.433%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1,544,466 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1,656,803 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Interest Incurred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activity, including other financing costs, for notes payable and financing arrangements for the periods presented is as follows (in thousands):</w:t>
      </w:r>
    </w:p>
    <w:tbl>
      <w:tblPr>
        <w:tblW w:w="9404" w:type="dxa"/>
        <w:jc w:val="left"/>
        <w:tblInd w:w="0" w:type="dxa"/>
        <w:tblLayout w:type="fixed"/>
        <w:tblCellMar>
          <w:top w:w="28" w:type="dxa"/>
          <w:left w:w="28" w:type="dxa"/>
          <w:bottom w:w="28" w:type="dxa"/>
          <w:right w:w="28" w:type="dxa"/>
        </w:tblCellMar>
      </w:tblPr>
      <w:tblGrid>
        <w:gridCol w:w="819"/>
        <w:gridCol w:w="720"/>
        <w:gridCol w:w="725"/>
        <w:gridCol w:w="109"/>
        <w:gridCol w:w="109"/>
        <w:gridCol w:w="109"/>
        <w:gridCol w:w="273"/>
        <w:gridCol w:w="934"/>
        <w:gridCol w:w="141"/>
        <w:gridCol w:w="141"/>
        <w:gridCol w:w="141"/>
        <w:gridCol w:w="141"/>
        <w:gridCol w:w="273"/>
        <w:gridCol w:w="934"/>
        <w:gridCol w:w="141"/>
        <w:gridCol w:w="109"/>
        <w:gridCol w:w="109"/>
        <w:gridCol w:w="109"/>
        <w:gridCol w:w="262"/>
        <w:gridCol w:w="898"/>
        <w:gridCol w:w="135"/>
        <w:gridCol w:w="135"/>
        <w:gridCol w:w="135"/>
        <w:gridCol w:w="135"/>
        <w:gridCol w:w="262"/>
        <w:gridCol w:w="898"/>
        <w:gridCol w:w="135"/>
        <w:gridCol w:w="109"/>
        <w:gridCol w:w="109"/>
        <w:gridCol w:w="154"/>
      </w:tblGrid>
      <w:t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67" w:type="dxa"/>
            <w:gridSpan w:val="6"/>
            <w:tcBorders/>
          </w:tcPr>
          <w:p>
            <w:pPr>
              <w:pStyle w:val="TableContents"/>
              <w:bidi w:val="0"/>
              <w:spacing w:before="0" w:after="283"/>
              <w:jc w:val="left"/>
              <w:rPr>
                <w:sz w:val="4"/>
                <w:szCs w:val="4"/>
              </w:rPr>
            </w:pPr>
            <w:r>
              <w:rPr>
                <w:sz w:val="4"/>
                <w:szCs w:val="4"/>
              </w:rPr>
            </w:r>
          </w:p>
        </w:tc>
      </w:tr>
      <w:tr>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incurred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28,928 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32,711 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88,099 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95,236 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capitalized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(88,099)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(95,236)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14,539 </w:t>
            </w:r>
          </w:p>
        </w:tc>
        <w:tc>
          <w:tcPr>
            <w:tcW w:w="1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19,344 </w:t>
            </w:r>
          </w:p>
        </w:tc>
        <w:tc>
          <w:tcPr>
            <w:tcW w:w="1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71,402 </w:t>
            </w:r>
          </w:p>
        </w:tc>
        <w:tc>
          <w:tcPr>
            <w:tcW w:w="13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77,770 </w:t>
            </w:r>
          </w:p>
        </w:tc>
        <w:tc>
          <w:tcPr>
            <w:tcW w:w="13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Included in interest incurred was amortization of deferred financing costs and applicable discounts for notes payable and financing arrangements of $1.4 million and $2.4 million for the three months ended September 30, 2026 and 2025, respectively, and $5.6 million and $7.8 million for the nine months ended September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INCOME TAXES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file U.S. and state income tax returns in jurisdictions with varying statutes of limitations. The statute of limitations with regards to our federal income tax filings is three years. The statute of limitations for our state tax jurisdictions is three to four years depending on the jurisdiction. In the normal course of business, we are subject to tax audits in various jurisdictions, and such jurisdictions may assess additional income taxes. We do not expect the outcome of any audit to have a material effect on our condensed consolidated financial statements; however, audit outcomes and the timing of audit adjustments are subject to significant uncertainty.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2026, our effective tax rate of 26.3% is higher than the Federal statutory rate primarily as a result of state income taxes, net of the federal benefit, the compensation cost in excess of deductions for share-based payments, the compensation limitation under Section 162(m) of the Internal Revenue Code, as amended, and other nondeductible expenses.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our effective tax rate of 27.6% is higher than the Federal statutory rate primarily as a result of state income taxes, net of the federal benefit, the compensation cost in excess of deductions for share-based payments, the compensation limitation under Section 162(m) of the Internal Revenue Code, as amended, and other nondeductible expenses.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taxes paid were $7.2 million and $2.4 million for the three months ended September 30, 2026 and 2025, respectively. Income taxes paid were $23.2 million and $62.3 million for the nine months ended September 30,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pPr>
      <w:hyperlink w:anchor="ie0c00a7a1b3747cca0be3263a7bf0011_16">
        <w:r>
          <w:rPr>
            <w:rStyle w:val="InternetLink"/>
            <w:rFonts w:ascii="Times New Roman;serif" w:hAnsi="Times New Roman;serif"/>
            <w:b/>
            <w:color w:val="0000FF"/>
            <w:sz w:val="20"/>
            <w:u w:val="single"/>
          </w:rPr>
          <w:t>Table of Contents</w:t>
        </w:r>
      </w:hyperlink>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Stock Repurchase Program</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2022, our Board of Directors (the “Board”) approved a $200.0 million increase to our previously authorized stock repurchase program, pursuant to which we may purchase up to $550.0 million of shares of our common stock through open market transactions, privately negotiated transactions or otherwise in accordance with applicable laws. During the three and nine months ended September 30, 2026, we did not repurchase any shares of our common stock. During the three months ended September 30, 2025, we did not repurchase any shares of our common stock. During the nine months ended September 30, 2025, we repurchased 409,253 shares of our common stock at a total cost, including commissions and excise taxes, of $23.6 million, to be held as treasury stock. A total of 3,656,592 shares of our common stock has been repurchased since our stock repurchase program commenced in 2018. As of September 30, 2026, we may purchase up to $157.3 million of shares of our common stock under our stock repurchase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EARNINGS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computation of basic and diluted earnings per share for the three and nine months ended September 30,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504"/>
        <w:gridCol w:w="1165"/>
        <w:gridCol w:w="1168"/>
        <w:gridCol w:w="273"/>
        <w:gridCol w:w="853"/>
        <w:gridCol w:w="120"/>
        <w:gridCol w:w="120"/>
        <w:gridCol w:w="120"/>
        <w:gridCol w:w="120"/>
        <w:gridCol w:w="273"/>
        <w:gridCol w:w="853"/>
        <w:gridCol w:w="120"/>
        <w:gridCol w:w="109"/>
        <w:gridCol w:w="109"/>
        <w:gridCol w:w="109"/>
        <w:gridCol w:w="262"/>
        <w:gridCol w:w="847"/>
        <w:gridCol w:w="118"/>
        <w:gridCol w:w="118"/>
        <w:gridCol w:w="118"/>
        <w:gridCol w:w="118"/>
        <w:gridCol w:w="262"/>
        <w:gridCol w:w="847"/>
        <w:gridCol w:w="118"/>
        <w:gridCol w:w="109"/>
        <w:gridCol w:w="109"/>
        <w:gridCol w:w="163"/>
      </w:tblGrid>
      <w:tr>
        <w:tc>
          <w:tcPr>
            <w:tcW w:w="1504"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83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83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608" w:type="dxa"/>
            <w:gridSpan w:val="6"/>
            <w:tcBorders/>
          </w:tcPr>
          <w:p>
            <w:pPr>
              <w:pStyle w:val="TableContents"/>
              <w:bidi w:val="0"/>
              <w:spacing w:before="0" w:after="283"/>
              <w:jc w:val="left"/>
              <w:rPr>
                <w:sz w:val="4"/>
                <w:szCs w:val="4"/>
              </w:rPr>
            </w:pPr>
            <w:r>
              <w:rPr>
                <w:sz w:val="4"/>
                <w:szCs w:val="4"/>
              </w:rPr>
            </w:r>
          </w:p>
        </w:tc>
      </w:tr>
      <w:tr>
        <w:tc>
          <w:tcPr>
            <w:tcW w:w="383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(in thousands):</w:t>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(Numerator for basic and diluted earnings per share)</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 weighted average shares outstanding</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23,331,728 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23,056,904 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23,210,620 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23,223,736 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Effect of dilutive securities:</w:t>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units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 weighted average shares outstanding</w:t>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23,466,066 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23,149,005 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23,281,055 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23,289,280 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non-vested restricted stock units excluded from calculations of diluted earnings per share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8.    STOCK-BASED COMPENSATION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Non-Performance-Based Restricted Stock Units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of our time-vested restricted stock units (“RSUs”) for the nine months ended September 30, 2026:</w:t>
      </w:r>
    </w:p>
    <w:tbl>
      <w:tblPr>
        <w:tblW w:w="7047" w:type="dxa"/>
        <w:jc w:val="left"/>
        <w:tblInd w:w="0" w:type="dxa"/>
        <w:tblLayout w:type="fixed"/>
        <w:tblCellMar>
          <w:top w:w="28" w:type="dxa"/>
          <w:left w:w="28" w:type="dxa"/>
          <w:bottom w:w="28" w:type="dxa"/>
          <w:right w:w="28" w:type="dxa"/>
        </w:tblCellMar>
      </w:tblPr>
      <w:tblGrid>
        <w:gridCol w:w="603"/>
        <w:gridCol w:w="529"/>
        <w:gridCol w:w="532"/>
        <w:gridCol w:w="413"/>
        <w:gridCol w:w="413"/>
        <w:gridCol w:w="226"/>
        <w:gridCol w:w="219"/>
        <w:gridCol w:w="219"/>
        <w:gridCol w:w="219"/>
        <w:gridCol w:w="713"/>
        <w:gridCol w:w="2441"/>
        <w:gridCol w:w="520"/>
      </w:tblGrid>
      <w:t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2026</w:t>
            </w:r>
          </w:p>
        </w:tc>
      </w:tr>
      <w:t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222,828 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86.51 </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121,439 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43.38 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105.40 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65.06 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300,525 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67.88 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recognized $1.5 million and $1.8 million of stock-based compensation expense related to outstanding RSUs for the three months ended September 30, 2026 and 2025, respectively. We recognized $4.6 million and $5.3 million of stock-based compensation expense related to outstanding RSUs for the nine months ended September 30, 2026 and 2025, respectively.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pPr>
      <w:hyperlink w:anchor="ie0c00a7a1b3747cca0be3263a7bf0011_16">
        <w:r>
          <w:rPr>
            <w:rStyle w:val="InternetLink"/>
            <w:rFonts w:ascii="Times New Roman;serif" w:hAnsi="Times New Roman;serif"/>
            <w:b/>
            <w:color w:val="0000FF"/>
            <w:sz w:val="20"/>
            <w:u w:val="single"/>
          </w:rPr>
          <w:t>Table of Contents</w:t>
        </w:r>
      </w:hyperlink>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Generally, the RSUs cliff vest on the third anniversary of the grant date and can only be settled in shares of our common stock. At September 30, 2026, we had unrecognized compensation cost of $8.5 million related to unvested RSUs, which is expected to be recognized over a weighted average period of 1.8 years.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Performance-Based Restricted Stock Units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of the Board has granted awards of performance-based RSUs (“PSUs”) under the Amended and Restated LGI Homes, Inc. 2013 Equity Incentive Plan to certain members of senior management based on three-year performance cycles. The PSUs provide for shares of our common stock to be issued based on the attainment of certain performance metrics over the applicable three-year periods. The number of shares of our common stock that may be issued to the recipients for the PSUs range from 0% to 200% of the target amount depending on actual results as compared to the target performance metrics. The terms of the PSUs provide that the payouts will be capped at 100% of the target number of PSUs granted if absolute total stockholder return is negative during the performance period, regardless of EPS performance; this market condition applies for amounts recorded above target. The compensation expense associated with the PSU grants is determined using the derived grant date fair value, based on a third-party valuation analysis, and expensed over the applicable period. The PSUs vest upon the determination date for the actual results at the end of the three-year period and require that the recipients continue to be employed by us through the determination date. The PSUs can only be settled in shares of our common stock.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of our PSUs for the nine months ended September 30, 2026:</w:t>
      </w:r>
    </w:p>
    <w:tbl>
      <w:tblPr>
        <w:tblW w:w="7299" w:type="dxa"/>
        <w:jc w:val="left"/>
        <w:tblInd w:w="0" w:type="dxa"/>
        <w:tblLayout w:type="fixed"/>
        <w:tblCellMar>
          <w:top w:w="28" w:type="dxa"/>
          <w:left w:w="28" w:type="dxa"/>
          <w:bottom w:w="28" w:type="dxa"/>
          <w:right w:w="28" w:type="dxa"/>
        </w:tblCellMar>
      </w:tblPr>
      <w:tblGrid>
        <w:gridCol w:w="603"/>
        <w:gridCol w:w="529"/>
        <w:gridCol w:w="532"/>
        <w:gridCol w:w="434"/>
        <w:gridCol w:w="434"/>
        <w:gridCol w:w="436"/>
        <w:gridCol w:w="219"/>
        <w:gridCol w:w="219"/>
        <w:gridCol w:w="219"/>
        <w:gridCol w:w="713"/>
        <w:gridCol w:w="2441"/>
        <w:gridCol w:w="520"/>
      </w:tblGrid>
      <w:t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2026</w:t>
            </w:r>
          </w:p>
        </w:tc>
      </w:tr>
      <w:t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Target Shares</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86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248,122 </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92.92 </w:t>
            </w:r>
          </w:p>
        </w:tc>
        <w:tc>
          <w:tcPr>
            <w:tcW w:w="5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191,158 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Vested</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(36,883)</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Forfeited</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(32,205)</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104.36 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86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370,192 </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September 30, 2026, management estimates that the recipients will receive approximately 51.6% of the weighted average target number of PSUs outstanding at the end of the applicable three-year performance cycle based on projected performance compared to the target performance metrics. We recognized $0.7 million and $(0.4) million of total stock-based compensation expense related to outstanding PSUs for the three months ended September 30, 2026 and 2025, respectively. We recognized $1.9 million and $1.2 million of total stock-based compensation expense related to outstanding PSUs for the nine months ended September 30, 2026 and 2025, respectively. At September 30, 2026, we had unrecognized compensation cost of $6.9 million, based on the probable amount, related to unvested PSUs, which is expected to be recognized over a weighted average period of 2.5 years. PSUs granted in 2025 and 2026 are excluded from the calculation of diluted EPS as they are subject to unsatisfied performance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FAIR VALUE DISCLOSURES</w:t>
      </w:r>
    </w:p>
    <w:p>
      <w:pPr>
        <w:pStyle w:val="TextBody"/>
        <w:bidi w:val="0"/>
        <w:spacing w:lineRule="auto" w:line="288" w:before="120" w:after="283"/>
        <w:ind w:left="0" w:right="0" w:firstLine="450"/>
        <w:jc w:val="both"/>
      </w:pPr>
      <w:r>
        <w:rPr>
          <w:rFonts w:ascii="Times New Roman;serif" w:hAnsi="Times New Roman;serif"/>
          <w:b w:val="false"/>
          <w:color w:val="000000"/>
          <w:sz w:val="20"/>
        </w:rPr>
        <w:t>Accounting Standards Codification (“ASC”) 820, “Fair Value Measurements”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defines fair value as “the price that would be received to sell an asset or paid to transfer a liability in an orderly transaction between market participants at the measurement date”. Fair value is determined based on the principal market for the asset or liability, or, in the absence of a principal market, the most advantageous market. The principal market is the market with the greatest volume and level of activity for the assets or liability, regardless of whether the Company ultimately transacts in that market. As a result, a fair value determined under this exit price concept may differ from the transaction price or quoted market price for the asset or liability.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ASC 820 establishes a framework for measuring fair value under GAAP, expands disclosure requirements for fair value measurements, and establishes a three-level fair value hierarchy that prioritizes the inputs used in valuation techniques. The hierarchy requires the use of observable inputs when available and the minimization of unobservable inputs. The three levels of the fair value hierarchy are as follows:</w:t>
      </w:r>
    </w:p>
    <w:p>
      <w:pPr>
        <w:pStyle w:val="TextBody"/>
        <w:bidi w:val="0"/>
        <w:spacing w:lineRule="auto" w:line="288" w:before="120" w:after="283"/>
        <w:ind w:left="0" w:right="0" w:firstLine="450"/>
        <w:jc w:val="both"/>
      </w:pPr>
      <w:r>
        <w:rPr>
          <w:rFonts w:ascii="Times New Roman;serif" w:hAnsi="Times New Roman;serif"/>
          <w:b w:val="false"/>
          <w:i/>
          <w:color w:val="000000"/>
          <w:sz w:val="20"/>
        </w:rPr>
        <w:t>Level 1</w:t>
      </w:r>
      <w:r>
        <w:rPr>
          <w:color w:val="000000"/>
        </w:rPr>
        <w:t> </w:t>
      </w:r>
      <w:r>
        <w:rPr>
          <w:rFonts w:ascii="Times New Roman;serif" w:hAnsi="Times New Roman;serif"/>
          <w:b w:val="false"/>
          <w:color w:val="000000"/>
          <w:sz w:val="20"/>
        </w:rPr>
        <w:t>- Quoted prices in active markets for identical assets or liabilities.</w:t>
      </w:r>
    </w:p>
    <w:p>
      <w:pPr>
        <w:pStyle w:val="TextBody"/>
        <w:bidi w:val="0"/>
        <w:spacing w:lineRule="auto" w:line="288" w:before="0" w:after="0"/>
        <w:jc w:val="both"/>
      </w:pPr>
      <w:r>
        <w:rPr>
          <w:rFonts w:ascii="Times New Roman;serif" w:hAnsi="Times New Roman;serif"/>
          <w:b w:val="false"/>
          <w:i/>
          <w:color w:val="000000"/>
          <w:sz w:val="20"/>
        </w:rPr>
        <w:t>Level 2</w:t>
      </w:r>
      <w:r>
        <w:rPr>
          <w:color w:val="000000"/>
        </w:rPr>
        <w:t> </w:t>
      </w:r>
      <w:r>
        <w:rPr>
          <w:rFonts w:ascii="Times New Roman;serif" w:hAnsi="Times New Roman;serif"/>
          <w:b w:val="false"/>
          <w:color w:val="000000"/>
          <w:sz w:val="20"/>
        </w:rPr>
        <w:t>- Significant observable inputs other than quoted prices included in Level 1, such as quoted prices for identical or similar assets or liabilities in markets that are not active.</w:t>
      </w:r>
    </w:p>
    <w:p>
      <w:pPr>
        <w:pStyle w:val="TextBody"/>
        <w:bidi w:val="0"/>
        <w:spacing w:lineRule="auto" w:line="288" w:before="0" w:after="0"/>
        <w:jc w:val="both"/>
      </w:pPr>
      <w:r>
        <w:rPr>
          <w:rFonts w:ascii="Times New Roman;serif" w:hAnsi="Times New Roman;serif"/>
          <w:b w:val="false"/>
          <w:i/>
          <w:color w:val="000000"/>
          <w:sz w:val="20"/>
        </w:rPr>
        <w:t>Level 3</w:t>
      </w:r>
      <w:r>
        <w:rPr>
          <w:color w:val="000000"/>
        </w:rPr>
        <w:t> </w:t>
      </w:r>
      <w:r>
        <w:rPr>
          <w:rFonts w:ascii="Times New Roman;serif" w:hAnsi="Times New Roman;serif"/>
          <w:b w:val="false"/>
          <w:color w:val="000000"/>
          <w:sz w:val="20"/>
        </w:rPr>
        <w:t xml:space="preserve">- Significant unobservable inputs that reflect the Company’s own assumptions about the assumptions market participants would use in pricing the asset or liability.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pPr>
      <w:hyperlink w:anchor="ie0c00a7a1b3747cca0be3263a7bf0011_16">
        <w:r>
          <w:rPr>
            <w:rStyle w:val="InternetLink"/>
            <w:rFonts w:ascii="Times New Roman;serif" w:hAnsi="Times New Roman;serif"/>
            <w:b/>
            <w:color w:val="0000FF"/>
            <w:sz w:val="20"/>
            <w:u w:val="single"/>
          </w:rPr>
          <w:t>Table of Contents</w:t>
        </w:r>
      </w:hyperlink>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measurements on a non-recurring basis occur when events or changes in circumstances indicate that the carrying value of an asset may not be recoverable, including impairment of long-lived assets and inventory. These non-recurring fair value measurements are generally classified within Level 3 of the fair value hierarchy due to the use of significant unobservable inputs.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the Company recognized $4.7 million of impairment charges related to inventory, which were recorded in inventory on the condensed consolidated balance sheets and cost of sales in the condensed consolidated statement of operations. Of the total impairment charge, $2.4 million was related to our Florida reportable segment and $2.3 million was related to our Central reportable segment. The impairment charges were measured at fair value and classified within Level 3 of the fair value hierarchy.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the impaired assets was determined using valuation techniques that included discounted cash flow models and other market-based approaches. Significant unobservable inputs used in these valuations included estimated future selling prices, projected costs, absorption rates, expected holding periods and discount rates reflecting market participant assumptions. Changes in these assumptions could have a material impact on the estimated fair value and the amount of impairment recognized.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the Company’s financial instruments, including cash and cash equivalents, accounts receivable, accounts payable, and certain accrued liabilities, approximate fair value due to the short-term nature of these instruments.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2026, the carrying value of amounts outstanding under the 2025 Credit Agreement approximated fair value due to the variable interest rate, which adjusts based on market interest rates and the Company’s leverage ratio.</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the 2028 Senior Notes, the 2029 Senior Notes, the 2032 Senior Notes and the LGI Living Loan Agreement was estimated by discounting future contractual cash flows using market rates for similar instruments within the homebuilding industry. The fair value measurements are classified as Level 2 within the fair value hierarchy.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Company’s debt measured at fair value by level within the fair value hierarchy as of September 30, 2026 and December 31, 2025 (in thousands):</w:t>
      </w:r>
    </w:p>
    <w:tbl>
      <w:tblPr>
        <w:tblW w:w="10205" w:type="dxa"/>
        <w:jc w:val="left"/>
        <w:tblInd w:w="0" w:type="dxa"/>
        <w:tblLayout w:type="fixed"/>
        <w:tblCellMar>
          <w:top w:w="28" w:type="dxa"/>
          <w:left w:w="28" w:type="dxa"/>
          <w:bottom w:w="28" w:type="dxa"/>
          <w:right w:w="28" w:type="dxa"/>
        </w:tblCellMar>
      </w:tblPr>
      <w:tblGrid>
        <w:gridCol w:w="627"/>
        <w:gridCol w:w="387"/>
        <w:gridCol w:w="390"/>
        <w:gridCol w:w="109"/>
        <w:gridCol w:w="109"/>
        <w:gridCol w:w="109"/>
        <w:gridCol w:w="484"/>
        <w:gridCol w:w="484"/>
        <w:gridCol w:w="486"/>
        <w:gridCol w:w="109"/>
        <w:gridCol w:w="109"/>
        <w:gridCol w:w="109"/>
        <w:gridCol w:w="237"/>
        <w:gridCol w:w="928"/>
        <w:gridCol w:w="122"/>
        <w:gridCol w:w="109"/>
        <w:gridCol w:w="109"/>
        <w:gridCol w:w="109"/>
        <w:gridCol w:w="283"/>
        <w:gridCol w:w="1112"/>
        <w:gridCol w:w="146"/>
        <w:gridCol w:w="109"/>
        <w:gridCol w:w="109"/>
        <w:gridCol w:w="109"/>
        <w:gridCol w:w="237"/>
        <w:gridCol w:w="928"/>
        <w:gridCol w:w="122"/>
        <w:gridCol w:w="109"/>
        <w:gridCol w:w="109"/>
        <w:gridCol w:w="109"/>
        <w:gridCol w:w="281"/>
        <w:gridCol w:w="1101"/>
        <w:gridCol w:w="215"/>
      </w:tblGrid>
      <w:tr>
        <w:tc>
          <w:tcPr>
            <w:tcW w:w="62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Estimated 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Estimated Fair Value </w:t>
            </w:r>
          </w:p>
        </w:tc>
      </w:tr>
      <w:tr>
        <w:tc>
          <w:tcPr>
            <w:tcW w:w="1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2028 Senior Notes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419,993 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437,152 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2029 Senior Notes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282,181 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286,726 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2032 Senior Notes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413,031 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437,114 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LGI Living Loan </w:t>
            </w:r>
          </w:p>
          <w:p>
            <w:pPr>
              <w:pStyle w:val="TableContents"/>
              <w:bidi w:val="0"/>
              <w:spacing w:lineRule="auto" w:line="240" w:before="0" w:after="0"/>
              <w:jc w:val="left"/>
            </w:pPr>
            <w:r>
              <w:rPr>
                <w:rFonts w:ascii="Times New Roman;serif" w:hAnsi="Times New Roman;serif"/>
                <w:b w:val="false"/>
                <w:color w:val="000000"/>
                <w:sz w:val="20"/>
              </w:rPr>
              <w:t xml:space="preserve">Agreement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pPr>
      <w:r>
        <w:rPr>
          <w:rFonts w:ascii="Times New Roman;serif" w:hAnsi="Times New Roman;serif"/>
          <w:b w:val="false"/>
          <w:color w:val="000000"/>
          <w:sz w:val="18"/>
        </w:rPr>
        <w:t xml:space="preserve">(1)See </w:t>
      </w:r>
      <w:hyperlink w:anchor="ie0c00a7a1b3747cca0be3263a7bf0011_136">
        <w:r>
          <w:rPr>
            <w:rStyle w:val="InternetLink"/>
            <w:rFonts w:ascii="Times New Roman;serif" w:hAnsi="Times New Roman;serif"/>
            <w:b w:val="false"/>
            <w:color w:val="0000FF"/>
            <w:sz w:val="18"/>
            <w:u w:val="single"/>
          </w:rPr>
          <w:t>Note 4</w:t>
        </w:r>
      </w:hyperlink>
      <w:r>
        <w:rPr>
          <w:color w:val="000000"/>
        </w:rPr>
        <w:t xml:space="preserve"> </w:t>
      </w:r>
      <w:r>
        <w:rPr>
          <w:rFonts w:ascii="Times New Roman;serif" w:hAnsi="Times New Roman;serif"/>
          <w:b w:val="false"/>
          <w:color w:val="000000"/>
          <w:sz w:val="18"/>
        </w:rPr>
        <w:t xml:space="preserve">for more details regarding the offerings of the 2028 Senior Notes, the 2029 Senior Notes, and the 2032 Senior Notes and the LGI Living Loan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COMMITMENTS AND CONTINGENCIES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Contingencies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ordinary course of doing business, we are subject to claims or proceedings from time to time relating to the purchase, development and sale of real estate and homes and other aspects of our homebuilding operations. Management believes that these claims include usual obligations incurred by real estate developers and residential homebuilders in the normal course of business. In the opinion of management, these matters will not have a material effect on our consolidated financial position, results of operations or cash flows.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provided unsecured environmental indemnities to certain lenders and other counterparties. In each case, we have performed due diligence on the potential environmental risks including obtaining an independent environmental review from outside environmental consultants. These indemnities obligate us to reimburse the guaranteed parties for damages related to environmental matters. There is no term or damage limitation on these indemnities; however, if an environmental matter arises, we may have recourse against other previous owners. In the ordinary course of doing business, we are subject to regulatory proceedings from time to time related to environmental and other matters. In the opinion of management, these matters will not have a material effect on our consolidated financial position, results of operations or cash flows.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LGI Living Loan Agreement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July 23, 2025, the Company’s wholly owned special purpose subsidiary LGI Living SFR entered into the LGI Living Loan Agreement with Evergreen Residential Capital, LLC, as lender. The Company has provided a limited recourse guaranty of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pPr>
      <w:hyperlink w:anchor="ie0c00a7a1b3747cca0be3263a7bf0011_16">
        <w:r>
          <w:rPr>
            <w:rStyle w:val="InternetLink"/>
            <w:rFonts w:ascii="Times New Roman;serif" w:hAnsi="Times New Roman;serif"/>
            <w:b/>
            <w:color w:val="0000FF"/>
            <w:sz w:val="20"/>
            <w:u w:val="single"/>
          </w:rPr>
          <w:t>Table of Contents</w:t>
        </w:r>
      </w:hyperlink>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120" w:after="283"/>
        <w:jc w:val="both"/>
      </w:pPr>
      <w:r>
        <w:rPr>
          <w:rFonts w:ascii="Times New Roman;serif" w:hAnsi="Times New Roman;serif"/>
          <w:b w:val="false"/>
          <w:color w:val="000000"/>
          <w:sz w:val="20"/>
        </w:rPr>
        <w:t xml:space="preserve">the loan, subject to specified conditions, and is required to maintain certain minimum liquidity and net worth levels. See </w:t>
      </w:r>
      <w:hyperlink w:anchor="ie0c00a7a1b3747cca0be3263a7bf0011_136">
        <w:r>
          <w:rPr>
            <w:rStyle w:val="InternetLink"/>
            <w:rFonts w:ascii="Times New Roman;serif" w:hAnsi="Times New Roman;serif"/>
            <w:b w:val="false"/>
            <w:color w:val="0000FF"/>
            <w:sz w:val="20"/>
            <w:u w:val="single"/>
          </w:rPr>
          <w:t>Note 4</w:t>
        </w:r>
      </w:hyperlink>
      <w:r>
        <w:rPr>
          <w:color w:val="000000"/>
        </w:rPr>
        <w:t xml:space="preserve"> </w:t>
      </w:r>
      <w:r>
        <w:rPr>
          <w:rFonts w:ascii="Times New Roman;serif" w:hAnsi="Times New Roman;serif"/>
          <w:b w:val="false"/>
          <w:color w:val="000000"/>
          <w:sz w:val="20"/>
        </w:rPr>
        <w:t>for additional information regarding the LGI Living Loan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Land Deposits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land purchase contracts, generally through cash deposits, for the right to purchase land or lots at a future point in time with predetermined terms. We do not have title to the property, and obligations with respect to the land purchase contracts are generally limited to the forfeiture of the related nonrefundable cash deposits. The following is a summary of our land purchase deposits included in pre-acquisition costs and deposits (in thousands, except for lot count):</w:t>
      </w:r>
    </w:p>
    <w:tbl>
      <w:tblPr>
        <w:tblW w:w="10205" w:type="dxa"/>
        <w:jc w:val="left"/>
        <w:tblInd w:w="0" w:type="dxa"/>
        <w:tblLayout w:type="fixed"/>
        <w:tblCellMar>
          <w:top w:w="28" w:type="dxa"/>
          <w:left w:w="28" w:type="dxa"/>
          <w:bottom w:w="28" w:type="dxa"/>
          <w:right w:w="28" w:type="dxa"/>
        </w:tblCellMar>
      </w:tblPr>
      <w:tblGrid>
        <w:gridCol w:w="2313"/>
        <w:gridCol w:w="1932"/>
        <w:gridCol w:w="1940"/>
        <w:gridCol w:w="109"/>
        <w:gridCol w:w="109"/>
        <w:gridCol w:w="109"/>
        <w:gridCol w:w="288"/>
        <w:gridCol w:w="1128"/>
        <w:gridCol w:w="148"/>
        <w:gridCol w:w="109"/>
        <w:gridCol w:w="109"/>
        <w:gridCol w:w="109"/>
        <w:gridCol w:w="282"/>
        <w:gridCol w:w="1107"/>
        <w:gridCol w:w="146"/>
        <w:gridCol w:w="109"/>
        <w:gridCol w:w="158"/>
      </w:tblGrid>
      <w:tr>
        <w:tc>
          <w:tcPr>
            <w:tcW w:w="2313"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c>
          <w:tcPr>
            <w:tcW w:w="6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Land deposits and option payments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17,907 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19,187 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Commitments under the land purchase option and deposit contracts if the</w:t>
            </w:r>
            <w:r>
              <w:rPr>
                <w:color w:val="000000"/>
              </w:rPr>
              <w:t xml:space="preserve"> </w:t>
            </w:r>
            <w:r>
              <w:rPr>
                <w:rFonts w:ascii="Times New Roman;serif" w:hAnsi="Times New Roman;serif"/>
                <w:b w:val="false"/>
                <w:color w:val="000000"/>
                <w:sz w:val="20"/>
              </w:rPr>
              <w:t xml:space="preserve">purchases are consummated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390,569 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285,654 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Lots under land options and land purchase contracts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pPr>
      <w:r>
        <w:rPr>
          <w:rFonts w:ascii="Times New Roman;serif" w:hAnsi="Times New Roman;serif"/>
          <w:b w:val="false"/>
          <w:color w:val="000000"/>
          <w:sz w:val="18"/>
        </w:rPr>
        <w:t xml:space="preserve">(1)Includes land banking financing arrangements that are now concluded. See </w:t>
      </w:r>
      <w:hyperlink w:anchor="ie0c00a7a1b3747cca0be3263a7bf0011_124">
        <w:r>
          <w:rPr>
            <w:rStyle w:val="InternetLink"/>
            <w:rFonts w:ascii="Times New Roman;serif" w:hAnsi="Times New Roman;serif"/>
            <w:b w:val="false"/>
            <w:color w:val="0000FF"/>
            <w:sz w:val="18"/>
            <w:u w:val="single"/>
          </w:rPr>
          <w:t>Note 2</w:t>
        </w:r>
      </w:hyperlink>
      <w:r>
        <w:rPr>
          <w:color w:val="000000"/>
        </w:rPr>
        <w:t xml:space="preserve"> </w:t>
      </w:r>
      <w:r>
        <w:rPr>
          <w:rFonts w:ascii="Times New Roman;serif" w:hAnsi="Times New Roman;serif"/>
          <w:b w:val="false"/>
          <w:color w:val="000000"/>
          <w:sz w:val="18"/>
        </w:rPr>
        <w:t xml:space="preserve">and </w:t>
      </w:r>
      <w:hyperlink w:anchor="ie0c00a7a1b3747cca0be3263a7bf0011_133">
        <w:r>
          <w:rPr>
            <w:rStyle w:val="InternetLink"/>
            <w:rFonts w:ascii="Times New Roman;serif" w:hAnsi="Times New Roman;serif"/>
            <w:b w:val="false"/>
            <w:color w:val="0000FF"/>
            <w:sz w:val="18"/>
            <w:u w:val="single"/>
          </w:rPr>
          <w:t>Note 3</w:t>
        </w:r>
      </w:hyperlink>
      <w:r>
        <w:rPr>
          <w:color w:val="000000"/>
        </w:rPr>
        <w:t xml:space="preserve"> </w:t>
      </w:r>
      <w:r>
        <w:rPr>
          <w:rFonts w:ascii="Times New Roman;serif" w:hAnsi="Times New Roman;serif"/>
          <w:b w:val="false"/>
          <w:color w:val="000000"/>
          <w:sz w:val="18"/>
        </w:rPr>
        <w:t>for more details regarding real estate not owned.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and December 31, 2025, approximately $11.0 million and $8.2 million, respectively, of the land deposits are related to purchase contracts to deliver finished lots that are refundable under certain circumstances, such as feasibility or specific performance, and secured by mortgages or letters of credit or guaranteed by the seller or its affiliates. </w:t>
      </w:r>
    </w:p>
    <w:p>
      <w:pPr>
        <w:pStyle w:val="TextBody"/>
        <w:bidi w:val="0"/>
        <w:spacing w:lineRule="auto" w:line="288" w:before="120" w:after="283"/>
        <w:ind w:left="0" w:right="0" w:hanging="450"/>
        <w:jc w:val="left"/>
        <w:rPr>
          <w:rFonts w:ascii="Times New Roman;serif" w:hAnsi="Times New Roman;serif"/>
          <w:b/>
          <w:color w:val="000000"/>
          <w:sz w:val="20"/>
        </w:rPr>
      </w:pPr>
      <w:r>
        <w:rPr>
          <w:rFonts w:ascii="Times New Roman;serif" w:hAnsi="Times New Roman;serif"/>
          <w:b/>
          <w:color w:val="000000"/>
          <w:sz w:val="20"/>
        </w:rPr>
        <w:t>Lease Obligations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recognize lease obligations and associated right-of-use (“ROU”) assets for our existing non-cancelable leases. Our lease agreements do not contain any material residual value guarantees or material restrictive covenants. We have non-cancelable operating leases primarily associated with our corporate and regional office facilities. Operating lease expense is recognized on a straight-line basis over the lease term, subject to any changes in the lease or expectations regarding the terms. Variable lease costs such as common area costs and property taxes are expensed as incurred. Leases with an initial term of 12 months or less are not recorded on the balance sheet. The lease term may include options to extend or terminate the lease when it is reasonably certain that we will exercise that option. As our leases do not provide an implicit rate, we use our incremental borrowing rate based on the information available at commencement date in determining the present value of lease payments. ROU assets, as included in other assets on the condensed consolidated balance sheets, were $4.1 million and $4.7 million as of September 30, 2026 and December 31, 2025, respectively. Lease obligations, as included in accrued expenses and other liabilities on the condensed consolidated balance sheets, were $4.5 million and $5.1 million as of September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Operating lease cost, as included in general and administrative expense in our condensed consolidated statements of operations, was $0.5 million and $0.5 million for the three months ended September 30, 2026 and 2025, respectively. Operating lease cost, as included in general and administrative expense in our condensed consolidated statements of operations, was $1.5 million and $1.5 million for the nine months ended September 30, 2026 and 2025, respectively. Cash paid for amounts included in the measurement of lease liabilities for operating leases was $2.0 million and $0.7 million for the nine months ended September 30, 2026 and 2025, respectively. As of September 30, 2026, the weighted-average discount rate was 6.0% and our weighted-average remaining life was 3.0 years. We do not have any significant lease contracts that have not yet commenced at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table below shows the future minimum payments under non-cancelable operating leases at September 30, 2026 (in thousands):</w:t>
      </w:r>
    </w:p>
    <w:tbl>
      <w:tblPr>
        <w:tblW w:w="4826" w:type="dxa"/>
        <w:jc w:val="left"/>
        <w:tblInd w:w="0" w:type="dxa"/>
        <w:tblLayout w:type="fixed"/>
        <w:tblCellMar>
          <w:top w:w="28" w:type="dxa"/>
          <w:left w:w="28" w:type="dxa"/>
          <w:bottom w:w="28" w:type="dxa"/>
          <w:right w:w="28" w:type="dxa"/>
        </w:tblCellMar>
      </w:tblPr>
      <w:tblGrid>
        <w:gridCol w:w="1063"/>
        <w:gridCol w:w="937"/>
        <w:gridCol w:w="939"/>
        <w:gridCol w:w="109"/>
        <w:gridCol w:w="109"/>
        <w:gridCol w:w="109"/>
        <w:gridCol w:w="334"/>
        <w:gridCol w:w="980"/>
        <w:gridCol w:w="246"/>
      </w:tblGrid>
      <w:tr>
        <w:tc>
          <w:tcPr>
            <w:tcW w:w="10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r>
      <w:t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amount representing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4,508 </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pPr>
      <w:hyperlink w:anchor="ie0c00a7a1b3747cca0be3263a7bf0011_16">
        <w:r>
          <w:rPr>
            <w:rStyle w:val="InternetLink"/>
            <w:rFonts w:ascii="Times New Roman;serif" w:hAnsi="Times New Roman;serif"/>
            <w:b/>
            <w:color w:val="0000FF"/>
            <w:sz w:val="20"/>
            <w:u w:val="single"/>
          </w:rPr>
          <w:t>Table of Contents</w:t>
        </w:r>
      </w:hyperlink>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Bonding and Letters of Credit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outstanding letters of credit and performance and surety bonds totaling $416.8 million (including $23.7 million of letters of credit issued under the 2025 Credit Agreement) and $392.2 million (including $19.5 million of letters of credit issued under the 2025 Credit Agreement) at September 30, 2026 and December 31, 2025, respectively, related to our obligations for site improvements at various projects. Management does not believe that draws upon the letters of credit, surety bonds or financial guarantees if any, will have a material effect on our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Investment in Unconsolidated Entities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2026, we have two equity-method real estate joint ventures and five equity-method joint ventures engaged primarily to provide services, such as mortgage and insurance, to our homebuyers. As of September 30, 2026 and December 31, 2025, we have a total of $25.4 million and $21.2 million, respectively, within other assets on the balance sheet relating to our investment in joint ventures associated with our operations. Contributions into the unconsolidated entities are for the use of investing in certain real estate transactions and residential mortgage services, respectively. Income associated with our investment in unconsolidated entities during the three months ended September 30, 2026 and 2025 was $3.6 million and $(0.03) million, respectively. Income associated with our investment in unconsolidated entities during the nine months ended September 30, 2026 and 2025 was $6.4 million and $1.9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Homebuilding Revenues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revenues primarily by delivering move-in ready entry-level and move-up spec homes sold under our LGI Homes brand and our move-up and luxury series spec homes sold under our Terrata Homes brand.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Land and Other Revenues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also generate land and other revenue through lot sales and leasing. For the three and nine months ended September 30, 2025, we reclassified the income of lot sales and leasing revenues from other income to land and other revenue and land and other costs to conform to the current presentation. This reclassification had no impact on our previously reported net income, earnings per share, or cash flows for any period presented, as it represents a change in gross presentation between revenue and cost of sales versus other income, net.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revenue and cost of sales for lots and leases reclassified from other income for the three and nine months ended September 30, 2025 (in thousands).</w:t>
      </w:r>
    </w:p>
    <w:tbl>
      <w:tblPr>
        <w:tblW w:w="8966" w:type="dxa"/>
        <w:jc w:val="left"/>
        <w:tblInd w:w="0" w:type="dxa"/>
        <w:tblLayout w:type="fixed"/>
        <w:tblCellMar>
          <w:top w:w="28" w:type="dxa"/>
          <w:left w:w="28" w:type="dxa"/>
          <w:bottom w:w="28" w:type="dxa"/>
          <w:right w:w="28" w:type="dxa"/>
        </w:tblCellMar>
      </w:tblPr>
      <w:tblGrid>
        <w:gridCol w:w="737"/>
        <w:gridCol w:w="650"/>
        <w:gridCol w:w="652"/>
        <w:gridCol w:w="109"/>
        <w:gridCol w:w="109"/>
        <w:gridCol w:w="701"/>
        <w:gridCol w:w="2053"/>
        <w:gridCol w:w="366"/>
        <w:gridCol w:w="109"/>
        <w:gridCol w:w="109"/>
        <w:gridCol w:w="109"/>
        <w:gridCol w:w="109"/>
        <w:gridCol w:w="109"/>
        <w:gridCol w:w="591"/>
        <w:gridCol w:w="2022"/>
        <w:gridCol w:w="431"/>
      </w:tblGrid>
      <w:tr>
        <w:tc>
          <w:tcPr>
            <w:tcW w:w="7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43,594 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other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37,441 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72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pPr>
      <w:hyperlink w:anchor="ie0c00a7a1b3747cca0be3263a7bf0011_16">
        <w:r>
          <w:rPr>
            <w:rStyle w:val="InternetLink"/>
            <w:rFonts w:ascii="Times New Roman;serif" w:hAnsi="Times New Roman;serif"/>
            <w:b/>
            <w:color w:val="0000FF"/>
            <w:sz w:val="20"/>
            <w:u w:val="single"/>
          </w:rPr>
          <w:t>Table of Contents</w:t>
        </w:r>
      </w:hyperlink>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homebuilding revenues and land and other revenues disaggregated by revenue stream (in thousands): </w:t>
      </w:r>
    </w:p>
    <w:tbl>
      <w:tblPr>
        <w:tblW w:w="9751" w:type="dxa"/>
        <w:jc w:val="left"/>
        <w:tblInd w:w="0" w:type="dxa"/>
        <w:tblLayout w:type="fixed"/>
        <w:tblCellMar>
          <w:top w:w="28" w:type="dxa"/>
          <w:left w:w="28" w:type="dxa"/>
          <w:bottom w:w="28" w:type="dxa"/>
          <w:right w:w="28" w:type="dxa"/>
        </w:tblCellMar>
      </w:tblPr>
      <w:tblGrid>
        <w:gridCol w:w="1064"/>
        <w:gridCol w:w="933"/>
        <w:gridCol w:w="942"/>
        <w:gridCol w:w="251"/>
        <w:gridCol w:w="984"/>
        <w:gridCol w:w="129"/>
        <w:gridCol w:w="129"/>
        <w:gridCol w:w="129"/>
        <w:gridCol w:w="129"/>
        <w:gridCol w:w="251"/>
        <w:gridCol w:w="984"/>
        <w:gridCol w:w="129"/>
        <w:gridCol w:w="109"/>
        <w:gridCol w:w="109"/>
        <w:gridCol w:w="109"/>
        <w:gridCol w:w="216"/>
        <w:gridCol w:w="1003"/>
        <w:gridCol w:w="112"/>
        <w:gridCol w:w="112"/>
        <w:gridCol w:w="112"/>
        <w:gridCol w:w="112"/>
        <w:gridCol w:w="216"/>
        <w:gridCol w:w="1003"/>
        <w:gridCol w:w="112"/>
        <w:gridCol w:w="109"/>
        <w:gridCol w:w="109"/>
        <w:gridCol w:w="154"/>
      </w:tblGrid>
      <w:tr>
        <w:tc>
          <w:tcPr>
            <w:tcW w:w="106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39"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39"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703" w:type="dxa"/>
            <w:gridSpan w:val="6"/>
            <w:tcBorders/>
          </w:tcPr>
          <w:p>
            <w:pPr>
              <w:pStyle w:val="TableContents"/>
              <w:bidi w:val="0"/>
              <w:spacing w:before="0" w:after="283"/>
              <w:jc w:val="left"/>
              <w:rPr>
                <w:sz w:val="4"/>
                <w:szCs w:val="4"/>
              </w:rPr>
            </w:pPr>
            <w:r>
              <w:rPr>
                <w:sz w:val="4"/>
                <w:szCs w:val="4"/>
              </w:rPr>
            </w:r>
          </w:p>
        </w:tc>
      </w:tr>
      <w:tr>
        <w:tc>
          <w:tcPr>
            <w:tcW w:w="2939"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homebuilding revenues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356,664 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342,123 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1,074,648 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1,051,118 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homebuilding revenues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homebuilding revenues</w:t>
            </w:r>
          </w:p>
        </w:tc>
        <w:tc>
          <w:tcPr>
            <w:tcW w:w="12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437,507 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396,632 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1,258,754 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1,231,537 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39"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39"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other revenues</w:t>
            </w:r>
          </w:p>
        </w:tc>
        <w:tc>
          <w:tcPr>
            <w:tcW w:w="12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6,957 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34,634 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43,594 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444,464 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403,501 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1,293,388 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1,275,131 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homebuilding revenues and land and other revenues are disaggregated by geography, based on our determined reportable segments.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Leasing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leases certain residential properties to third parties under operating leases. Lease terms generally are for one year or less. The Company recognizes operating lease income on a straight-line basis over the lease term.</w:t>
      </w:r>
    </w:p>
    <w:p>
      <w:pPr>
        <w:pStyle w:val="TextBody"/>
        <w:bidi w:val="0"/>
        <w:spacing w:before="0" w:after="0"/>
        <w:jc w:val="both"/>
      </w:p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lease income (in thousands):</w:t>
      </w:r>
    </w:p>
    <w:p>
      <w:pPr>
        <w:pStyle w:val="TextBody"/>
        <w:bidi w:val="0"/>
        <w:spacing w:before="0" w:after="0"/>
        <w:jc w:val="both"/>
      </w:pPr>
      <w:r/>
    </w:p>
    <w:tbl>
      <w:tblPr>
        <w:tblW w:w="8959" w:type="dxa"/>
        <w:jc w:val="left"/>
        <w:tblInd w:w="0" w:type="dxa"/>
        <w:tblLayout w:type="fixed"/>
        <w:tblCellMar>
          <w:top w:w="28" w:type="dxa"/>
          <w:left w:w="28" w:type="dxa"/>
          <w:bottom w:w="28" w:type="dxa"/>
          <w:right w:w="28" w:type="dxa"/>
        </w:tblCellMar>
      </w:tblPr>
      <w:tblGrid>
        <w:gridCol w:w="896"/>
        <w:gridCol w:w="787"/>
        <w:gridCol w:w="792"/>
        <w:gridCol w:w="299"/>
        <w:gridCol w:w="874"/>
        <w:gridCol w:w="154"/>
        <w:gridCol w:w="154"/>
        <w:gridCol w:w="154"/>
        <w:gridCol w:w="154"/>
        <w:gridCol w:w="299"/>
        <w:gridCol w:w="874"/>
        <w:gridCol w:w="154"/>
        <w:gridCol w:w="109"/>
        <w:gridCol w:w="109"/>
        <w:gridCol w:w="109"/>
        <w:gridCol w:w="273"/>
        <w:gridCol w:w="934"/>
        <w:gridCol w:w="141"/>
        <w:gridCol w:w="141"/>
        <w:gridCol w:w="141"/>
        <w:gridCol w:w="141"/>
        <w:gridCol w:w="273"/>
        <w:gridCol w:w="798"/>
        <w:gridCol w:w="199"/>
      </w:tblGrid>
      <w:t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income</w:t>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lease payments</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payments</w:t>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r>
      <w:t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income</w:t>
            </w:r>
          </w:p>
        </w:tc>
        <w:tc>
          <w:tcPr>
            <w:tcW w:w="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11,144 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6,693 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Variable lease payments primarily consist of amounts attributable to reimbursements of certain property-related costs, including late fees and lease termination fees, that are not included in the measurement of the lease receivable.</w:t>
      </w:r>
    </w:p>
    <w:p>
      <w:pPr>
        <w:pStyle w:val="TextBody"/>
        <w:bidi w:val="0"/>
        <w:spacing w:before="0" w:after="0"/>
        <w:jc w:val="both"/>
      </w:p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evaluates its residential properties for impairment when events or changes in circumstances indicate that the carrying amount of a property may not be recoverable. To the extent an event or change in circumstance is identified, a residential property is considered to be impaired only if its carrying value cannot be recovered through estimated future undiscounted cash flows from the use and eventual disposition of the property. The process to assess our residential properties for impairment requires significant judgment and assessment of factors that are, at times, subject to significant uncertainty. We evaluate multiple information sources and perform a number of internal analyses, each of which is an important component of our process with no single information source or analysis being necessarily determinative.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SEGMENT INFORMATION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one principal homebuilding business that is organized and reports by division. We have seven operating segments (our Central, Midwest, Southeast, Mid-Atlantic, Northwest, West and Florida divisions) that we aggregate into five qualifying reportable segments at September 30, 2026: our Central, Southeast, Northwest, West, and Florida divisions. These segments reflect the way we evaluate our business performance and manage our operations.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reporting purposes, our homebuilding operations are aggregated into five reportable segments as follows:</w:t>
      </w:r>
    </w:p>
    <w:p>
      <w:pPr>
        <w:pStyle w:val="TextBody"/>
        <w:bidi w:val="0"/>
        <w:spacing w:lineRule="auto" w:line="288" w:before="60" w:after="283"/>
        <w:ind w:left="0" w:right="0" w:firstLine="450"/>
        <w:jc w:val="both"/>
      </w:pPr>
      <w:r>
        <w:rPr>
          <w:rFonts w:ascii="Times New Roman;serif" w:hAnsi="Times New Roman;serif"/>
          <w:b w:val="false"/>
          <w:color w:val="000000"/>
          <w:sz w:val="20"/>
        </w:rPr>
        <w:t>Central:        </w:t>
      </w:r>
      <w:r>
        <w:rPr>
          <w:rFonts w:ascii="Times New Roman;serif" w:hAnsi="Times New Roman;serif"/>
          <w:b w:val="false"/>
          <w:i/>
          <w:color w:val="000000"/>
          <w:sz w:val="20"/>
        </w:rPr>
        <w:t>Texas, Oklahoma, Minnesota</w:t>
      </w:r>
    </w:p>
    <w:p>
      <w:pPr>
        <w:pStyle w:val="TextBody"/>
        <w:bidi w:val="0"/>
        <w:spacing w:lineRule="auto" w:line="288" w:before="60" w:after="283"/>
        <w:ind w:left="0" w:right="0" w:firstLine="450"/>
        <w:jc w:val="both"/>
      </w:pPr>
      <w:r>
        <w:rPr>
          <w:rFonts w:ascii="Times New Roman;serif" w:hAnsi="Times New Roman;serif"/>
          <w:b w:val="false"/>
          <w:color w:val="000000"/>
          <w:sz w:val="20"/>
        </w:rPr>
        <w:t>Southeast:    </w:t>
      </w:r>
      <w:r>
        <w:rPr>
          <w:rFonts w:ascii="Times New Roman;serif" w:hAnsi="Times New Roman;serif"/>
          <w:b w:val="false"/>
          <w:i/>
          <w:color w:val="000000"/>
          <w:sz w:val="20"/>
        </w:rPr>
        <w:t xml:space="preserve">Georgia, Alabama, Tennessee, North Carolina, South Carolina, </w:t>
      </w:r>
    </w:p>
    <w:p>
      <w:pPr>
        <w:pStyle w:val="TextBody"/>
        <w:bidi w:val="0"/>
        <w:spacing w:lineRule="auto" w:line="288" w:before="6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West Virginia, Maryland, Pennsylvania, Virginia</w:t>
      </w:r>
    </w:p>
    <w:p>
      <w:pPr>
        <w:pStyle w:val="TextBody"/>
        <w:bidi w:val="0"/>
        <w:spacing w:lineRule="auto" w:line="288" w:before="60" w:after="283"/>
        <w:ind w:left="0" w:right="0" w:firstLine="450"/>
        <w:jc w:val="both"/>
      </w:pPr>
      <w:r>
        <w:rPr>
          <w:rFonts w:ascii="Times New Roman;serif" w:hAnsi="Times New Roman;serif"/>
          <w:b w:val="false"/>
          <w:color w:val="000000"/>
          <w:sz w:val="20"/>
        </w:rPr>
        <w:t>Northwest:    </w:t>
      </w:r>
      <w:r>
        <w:rPr>
          <w:rFonts w:ascii="Times New Roman;serif" w:hAnsi="Times New Roman;serif"/>
          <w:b w:val="false"/>
          <w:i/>
          <w:color w:val="000000"/>
          <w:sz w:val="20"/>
        </w:rPr>
        <w:t>Colorado, Washington, Oregon</w:t>
      </w:r>
    </w:p>
    <w:p>
      <w:pPr>
        <w:pStyle w:val="TextBody"/>
        <w:bidi w:val="0"/>
        <w:spacing w:lineRule="auto" w:line="288" w:before="60" w:after="283"/>
        <w:ind w:left="0" w:right="0" w:firstLine="450"/>
        <w:jc w:val="both"/>
      </w:pPr>
      <w:r>
        <w:rPr>
          <w:rFonts w:ascii="Times New Roman;serif" w:hAnsi="Times New Roman;serif"/>
          <w:b w:val="false"/>
          <w:color w:val="000000"/>
          <w:sz w:val="20"/>
        </w:rPr>
        <w:t>West:        </w:t>
      </w:r>
      <w:r>
        <w:rPr>
          <w:rFonts w:ascii="Times New Roman;serif" w:hAnsi="Times New Roman;serif"/>
          <w:b w:val="false"/>
          <w:i/>
          <w:color w:val="000000"/>
          <w:sz w:val="20"/>
        </w:rPr>
        <w:t>Arizona, New Mexico, Nevada, California, Utah</w:t>
      </w:r>
    </w:p>
    <w:p>
      <w:pPr>
        <w:pStyle w:val="TextBody"/>
        <w:bidi w:val="0"/>
        <w:spacing w:lineRule="auto" w:line="288" w:before="60" w:after="283"/>
        <w:ind w:left="0" w:right="0" w:firstLine="450"/>
        <w:jc w:val="both"/>
      </w:pPr>
      <w:r>
        <w:rPr>
          <w:rFonts w:ascii="Times New Roman;serif" w:hAnsi="Times New Roman;serif"/>
          <w:b w:val="false"/>
          <w:color w:val="000000"/>
          <w:sz w:val="20"/>
        </w:rPr>
        <w:t>Florida:        </w:t>
      </w:r>
      <w:r>
        <w:rPr>
          <w:rFonts w:ascii="Times New Roman;serif" w:hAnsi="Times New Roman;serif"/>
          <w:b w:val="false"/>
          <w:i/>
          <w:color w:val="000000"/>
          <w:sz w:val="20"/>
        </w:rPr>
        <w:t>Florida</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pPr>
      <w:hyperlink w:anchor="ie0c00a7a1b3747cca0be3263a7bf0011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determining the most appropriate reportable segments, we consider operating segments’ economic and other characteristics, including home floor plans, average selling prices, homebuilding gross margin percentage, geographical proximity, production construction processes, suppliers, subcontractors, regulatory environments, customer type and underlying demand and supply. Each operating segment follows the same accounting policies and is managed by our management team. We have no inter-segment sales, as all sales are to external customers. Operating results for each segment may not be indicative of the results for such segment had it been an independent, stand-alone entity for the periods presented.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Chief Executive Officer and Chairman of the Board and our President and Chief Operating Officer have been determined to be our chief operating decision-makers (“CODMs”). The CODMs primarily evaluate the segments’ operating performance and allocate resources for all of our reportable segments based on net income before income taxes. For all of the segments, the CODMs use segment net income before income tax expense in the annual budget and forecasting process. These operating results are reviewed against actual and forecasted figures, with net income before income taxes being the key operating metric used to measure profit or loss.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Financial information relating to our reportable segments was as follows (in thousands):</w:t>
      </w:r>
    </w:p>
    <w:tbl>
      <w:tblPr>
        <w:tblW w:w="10205" w:type="dxa"/>
        <w:jc w:val="left"/>
        <w:tblInd w:w="0" w:type="dxa"/>
        <w:tblLayout w:type="fixed"/>
        <w:tblCellMar>
          <w:top w:w="28" w:type="dxa"/>
          <w:left w:w="28" w:type="dxa"/>
          <w:bottom w:w="28" w:type="dxa"/>
          <w:right w:w="28" w:type="dxa"/>
        </w:tblCellMar>
      </w:tblPr>
      <w:tblGrid>
        <w:gridCol w:w="1129"/>
        <w:gridCol w:w="992"/>
        <w:gridCol w:w="995"/>
        <w:gridCol w:w="109"/>
        <w:gridCol w:w="109"/>
        <w:gridCol w:w="109"/>
        <w:gridCol w:w="247"/>
        <w:gridCol w:w="969"/>
        <w:gridCol w:w="127"/>
        <w:gridCol w:w="127"/>
        <w:gridCol w:w="127"/>
        <w:gridCol w:w="127"/>
        <w:gridCol w:w="247"/>
        <w:gridCol w:w="969"/>
        <w:gridCol w:w="127"/>
        <w:gridCol w:w="109"/>
        <w:gridCol w:w="109"/>
        <w:gridCol w:w="109"/>
        <w:gridCol w:w="215"/>
        <w:gridCol w:w="1000"/>
        <w:gridCol w:w="111"/>
        <w:gridCol w:w="111"/>
        <w:gridCol w:w="111"/>
        <w:gridCol w:w="111"/>
        <w:gridCol w:w="215"/>
        <w:gridCol w:w="1000"/>
        <w:gridCol w:w="111"/>
        <w:gridCol w:w="109"/>
        <w:gridCol w:w="109"/>
        <w:gridCol w:w="165"/>
      </w:tblGrid>
      <w:tr>
        <w:tc>
          <w:tcPr>
            <w:tcW w:w="112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709" w:type="dxa"/>
            <w:gridSpan w:val="6"/>
            <w:tcBorders/>
          </w:tcPr>
          <w:p>
            <w:pPr>
              <w:pStyle w:val="TableContents"/>
              <w:bidi w:val="0"/>
              <w:spacing w:before="0" w:after="283"/>
              <w:jc w:val="left"/>
              <w:rPr>
                <w:sz w:val="4"/>
                <w:szCs w:val="4"/>
              </w:rPr>
            </w:pPr>
            <w:r>
              <w:rPr>
                <w:sz w:val="4"/>
                <w:szCs w:val="4"/>
              </w:rPr>
            </w:r>
          </w:p>
        </w:tc>
      </w:tr>
      <w:tr>
        <w:tc>
          <w:tcPr>
            <w:tcW w:w="3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105,572 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101,996 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108,581 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91,699 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444,464 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403,501 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1,293,388 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1,275,131 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Central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81,140 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87,156 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76,954 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Florida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45,464 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355,280 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316,232 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1,041,379 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999,545 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0"/>
              </w:rPr>
              <w:t xml:space="preserve">Other segment items </w:t>
            </w:r>
            <w:r>
              <w:rPr>
                <w:rFonts w:ascii="Times New Roman;serif" w:hAnsi="Times New Roman;serif"/>
                <w:b/>
                <w:color w:val="000000"/>
                <w:sz w:val="13"/>
              </w:rPr>
              <w:t>(2)</w:t>
            </w: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segment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58,557 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59,583 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180,563 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199,550 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33,309 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26,701 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74,219 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74,465 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(1)During the nine months ended September 30, 2026, the Company recognized $4.7 million of impairment charges related to inventory, of which $2.4 million was related to our Florida reportable segment and $2.3 million was related to our Central reportable segment.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pPr>
      <w:hyperlink w:anchor="ie0c00a7a1b3747cca0be3263a7bf0011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(2)Other segment items reflects other sources of income and expense, including selling expenses, general and administrative expenses and other income, net.</w:t>
      </w:r>
    </w:p>
    <w:p>
      <w:pPr>
        <w:pStyle w:val="TextBody"/>
        <w:bidi w:val="0"/>
        <w:spacing w:before="120" w:after="283"/>
        <w:jc w:val="both"/>
      </w:pPr>
      <w:r/>
    </w:p>
    <w:p>
      <w:pPr>
        <w:pStyle w:val="TextBody"/>
        <w:bidi w:val="0"/>
        <w:spacing w:before="120" w:after="283"/>
        <w:jc w:val="both"/>
      </w:pPr>
      <w:r/>
    </w:p>
    <w:tbl>
      <w:tblPr>
        <w:tblW w:w="5442" w:type="dxa"/>
        <w:jc w:val="left"/>
        <w:tblInd w:w="0" w:type="dxa"/>
        <w:tblLayout w:type="fixed"/>
        <w:tblCellMar>
          <w:top w:w="28" w:type="dxa"/>
          <w:left w:w="28" w:type="dxa"/>
          <w:bottom w:w="28" w:type="dxa"/>
          <w:right w:w="28" w:type="dxa"/>
        </w:tblCellMar>
      </w:tblPr>
      <w:tblGrid>
        <w:gridCol w:w="410"/>
        <w:gridCol w:w="360"/>
        <w:gridCol w:w="370"/>
        <w:gridCol w:w="109"/>
        <w:gridCol w:w="109"/>
        <w:gridCol w:w="109"/>
        <w:gridCol w:w="288"/>
        <w:gridCol w:w="1333"/>
        <w:gridCol w:w="148"/>
        <w:gridCol w:w="109"/>
        <w:gridCol w:w="109"/>
        <w:gridCol w:w="109"/>
        <w:gridCol w:w="281"/>
        <w:gridCol w:w="1299"/>
        <w:gridCol w:w="145"/>
        <w:gridCol w:w="154"/>
      </w:tblGrid>
      <w:tr>
        <w:tc>
          <w:tcPr>
            <w:tcW w:w="41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4"/>
            <w:tcBorders/>
          </w:tcPr>
          <w:p>
            <w:pPr>
              <w:pStyle w:val="TableContents"/>
              <w:bidi w:val="0"/>
              <w:spacing w:before="0" w:after="283"/>
              <w:jc w:val="left"/>
              <w:rPr>
                <w:sz w:val="4"/>
                <w:szCs w:val="4"/>
              </w:rPr>
            </w:pPr>
            <w:r>
              <w:rPr>
                <w:sz w:val="4"/>
                <w:szCs w:val="4"/>
              </w:rPr>
            </w:r>
          </w:p>
        </w:tc>
      </w:tr>
      <w:tr>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1,054,820 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1,162,355 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824,636 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801,556 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657,326 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598,193 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858,589 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800,548 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425,387 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452,555 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Corporate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115,691 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112,035 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3,936,449 </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3,927,242 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(1)The Corporate balance consists primarily of cash and cash equivalents and investments in unconsolidated entities.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pPr>
      <w:hyperlink w:anchor="ie0c00a7a1b3747cca0be3263a7bf0011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For purposes of this Management’s Discussion and Analysis of Financial Condition and Results of Operations, references to “we,” “our,” “us” or similar terms refer to LGI Homes, Inc. and its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team has been in the residential land development business since the mid-1990s. Since commencing home building operations in 2003, we have constructed and closed over 80,000 homes.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engaged in the design, construction and sale of new homes in the following markets:</w:t>
      </w:r>
    </w:p>
    <w:tbl>
      <w:tblPr>
        <w:tblW w:w="10106" w:type="dxa"/>
        <w:jc w:val="left"/>
        <w:tblInd w:w="0" w:type="dxa"/>
        <w:tblLayout w:type="fixed"/>
        <w:tblCellMar>
          <w:top w:w="28" w:type="dxa"/>
          <w:left w:w="28" w:type="dxa"/>
          <w:bottom w:w="28" w:type="dxa"/>
          <w:right w:w="28" w:type="dxa"/>
        </w:tblCellMar>
      </w:tblPr>
      <w:tblGrid>
        <w:gridCol w:w="548"/>
        <w:gridCol w:w="480"/>
        <w:gridCol w:w="486"/>
        <w:gridCol w:w="109"/>
        <w:gridCol w:w="109"/>
        <w:gridCol w:w="109"/>
        <w:gridCol w:w="320"/>
        <w:gridCol w:w="320"/>
        <w:gridCol w:w="321"/>
        <w:gridCol w:w="109"/>
        <w:gridCol w:w="109"/>
        <w:gridCol w:w="109"/>
        <w:gridCol w:w="414"/>
        <w:gridCol w:w="414"/>
        <w:gridCol w:w="416"/>
        <w:gridCol w:w="109"/>
        <w:gridCol w:w="109"/>
        <w:gridCol w:w="109"/>
        <w:gridCol w:w="284"/>
        <w:gridCol w:w="284"/>
        <w:gridCol w:w="288"/>
        <w:gridCol w:w="109"/>
        <w:gridCol w:w="109"/>
        <w:gridCol w:w="109"/>
        <w:gridCol w:w="389"/>
        <w:gridCol w:w="389"/>
        <w:gridCol w:w="391"/>
        <w:gridCol w:w="109"/>
        <w:gridCol w:w="109"/>
        <w:gridCol w:w="109"/>
        <w:gridCol w:w="389"/>
        <w:gridCol w:w="389"/>
        <w:gridCol w:w="391"/>
        <w:gridCol w:w="109"/>
        <w:gridCol w:w="109"/>
        <w:gridCol w:w="109"/>
        <w:gridCol w:w="360"/>
        <w:gridCol w:w="360"/>
        <w:gridCol w:w="511"/>
      </w:tblGrid>
      <w:tr>
        <w:tc>
          <w:tcPr>
            <w:tcW w:w="54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Central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Midwest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Southeast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Mid-Atlantic</w:t>
            </w:r>
          </w:p>
        </w:tc>
      </w:tr>
      <w:tr>
        <w:tc>
          <w:tcPr>
            <w:tcW w:w="15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Arizona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Washington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Central Texas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Minnesota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Central 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Georgia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Maryland</w:t>
            </w:r>
          </w:p>
        </w:tc>
      </w:tr>
      <w:t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Oregon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Dallas/Ft Worth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East 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North Carolina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Pennsylvania</w:t>
            </w:r>
          </w:p>
        </w:tc>
      </w:tr>
      <w:t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Nevada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Colorado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Houston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West 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South Carolina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Virginia</w:t>
            </w:r>
          </w:p>
        </w:tc>
      </w:tr>
      <w:t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Northern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Oklahoma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Alabama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West Virginia</w:t>
            </w:r>
          </w:p>
        </w:tc>
      </w:tr>
      <w:t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Southern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Tennessee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Utah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delivered positive third quarter 2026 financial results that were in line with our previously announced guidance, despite a macroeconomic backdrop that remains challenging. Throughout the quarter, we continued executing on our strategy of delivering affordable homes to entry-level buyers across our markets. Persistently high mortgage rates continue to be a key pressure point for entry-level buyers. During the quarter, mortgage rates trended upward to approximately 7% for a 30-year fixed loan, and the 10-year U.S. Treasury yield rose to approximately 5%, driven by ongoing inflation, economic uncertainty, and geopolitical developments, including the conflict in the Middle East, which, together with subdued consumer sentiment, continued to pressure affordability and make it harder for entry-level buyers to qualify for a mortgage. These pressures weighed on demand: net orders for the nine months ended September 30, 2026 decreased 30.0% to 2,869 homes, with the decline more pronounced in the third quarter, and our cancellation rate rose to 48.9% as more buyers were unable to secure or retain mortgage financing. As a result, our ending backlog declined 47.5% to 685 homes. </w:t>
      </w:r>
    </w:p>
    <w:p>
      <w:pPr>
        <w:pStyle w:val="TextBody"/>
        <w:bidi w:val="0"/>
        <w:spacing w:lineRule="auto" w:line="288" w:before="12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2026, we closed 1,222 homes, including 33 currently and previously leased single-family homes. Excluding the 33 currently or previously leased single-family homes, we closed 1,189 homes at an average sales price per home closed of $367,962. For the three months ended September 30, 2025, we closed 1,107 homes, including 42 currently and previously leased single-family homes. Excluding the 42 currently or previously leased single-family homes, we closed 1,065 homes with an average sales price per home closed of $372,424.</w:t>
      </w:r>
    </w:p>
    <w:p>
      <w:pPr>
        <w:pStyle w:val="TextBody"/>
        <w:bidi w:val="0"/>
        <w:spacing w:lineRule="auto" w:line="288" w:before="12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we closed 3,578 homes, including 143 currently and previously leased single-family homes. Excluding the 143 currently or previously leased single-family homes, we closed 3,435 homes at an average sales price per home closed of $366,449. For the nine months ended September 30, 2025, we closed 3,426 homes, including 42 currently or previously leased single-family homes. Excluding the 42 currently or previously leased single-family homes, we closed 3,384 homes with an average sales price per home closed of $363,929.</w:t>
      </w:r>
    </w:p>
    <w:p>
      <w:pPr>
        <w:pStyle w:val="TextBody"/>
        <w:bidi w:val="0"/>
        <w:spacing w:lineRule="auto" w:line="268" w:before="12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had 151 active communities at September 30, 2026. At September 30, 2025, we had 141 active communities.</w:t>
      </w:r>
    </w:p>
    <w:p>
      <w:pPr>
        <w:pStyle w:val="TextBody"/>
        <w:bidi w:val="0"/>
        <w:spacing w:lineRule="auto" w:line="268" w:before="12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additional discussion regarding our business and operations, see Item 7. Management’s Discussion and Analysis of Financial Condition and Results of Operations in Part II of our Annual Report on Form 10-K for the fiscal year ended December 31, 2025. For additional discussion regarding risks associated with our business and operations, see Item 1A. Risk Factors in Part I of our Annual Report on Form 10-K for the fiscal year ended December 31, 2025.</w:t>
      </w:r>
    </w:p>
    <w:p>
      <w:pPr>
        <w:pStyle w:val="TextBody"/>
        <w:bidi w:val="0"/>
        <w:spacing w:lineRule="auto" w:line="268" w:before="120" w:after="20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68" w:before="12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9, 2026, we entered into the Seventh Amendment, which amended the 2025 Credit Agreement. The Seventh Amendment, among other things, (a) extended the maturity of the commitments of certain lenders under the Credit Agreement to October 9, 2030, (b) provided for aggregate revolving commitments in an amount of approximately $1.166 billion with a $175.0 million incremental facility, and (c) modified borrowing base values and certain financial and other covenants.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pPr>
      <w:hyperlink w:anchor="ie0c00a7a1b3747cca0be3263a7bf0011_7">
        <w:r>
          <w:rPr>
            <w:rStyle w:val="InternetLink"/>
            <w:rFonts w:ascii="Times New Roman;serif" w:hAnsi="Times New Roman;serif"/>
            <w:b/>
            <w:color w:val="0000FF"/>
            <w:sz w:val="20"/>
            <w:u w:val="single"/>
          </w:rPr>
          <w:t>Table of Contents</w:t>
        </w:r>
      </w:hyperlink>
    </w:p>
    <w:p>
      <w:pPr>
        <w:pStyle w:val="TextBody"/>
        <w:bidi w:val="0"/>
        <w:spacing w:lineRule="auto" w:line="268" w:before="120" w:after="200"/>
        <w:jc w:val="both"/>
        <w:rPr>
          <w:rFonts w:ascii="Times New Roman;serif" w:hAnsi="Times New Roman;serif"/>
          <w:b w:val="false"/>
          <w:color w:val="000000"/>
          <w:sz w:val="20"/>
        </w:rPr>
      </w:pPr>
      <w:r>
        <w:rPr>
          <w:rFonts w:ascii="Times New Roman;serif" w:hAnsi="Times New Roman;serif"/>
          <w:b w:val="false"/>
          <w:color w:val="000000"/>
          <w:sz w:val="20"/>
        </w:rPr>
        <w:t>Credit Agreement matures on October 9, 2030 with respect to $855.0 million, or 73.3%, of the approximately $1.166 billion of commitments thereunder, on April 28, 2029 with respect to 18.4% of the commitments thereunder and on April 28, 2028 with respect to 8.3% of the commitments thereunder. For additional information on the Credit Agreement (including defined terms used in this paragraph), see Note 4, “Notes Payable” to our condensed consolidated financial statements included in Part I, Item 1 of this Quarterly Report on Form 10-Q.</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pPr>
      <w:hyperlink w:anchor="ie0c00a7a1b3747cca0be3263a7bf0011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Key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Key financial results as of and for the three months ended September 30, 2026, as compared to the three months ended September 30, 2025, were as follows:</w:t>
      </w:r>
    </w:p>
    <w:p>
      <w:pPr>
        <w:pStyle w:val="TextBody"/>
        <w:bidi w:val="0"/>
        <w:spacing w:lineRule="auto" w:line="288" w:before="60" w:after="283"/>
        <w:ind w:left="0" w:right="0" w:hanging="450"/>
        <w:jc w:val="both"/>
      </w:pPr>
      <w:r>
        <w:rPr>
          <w:color w:val="000000"/>
        </w:rPr>
        <w:t>•</w:t>
      </w:r>
      <w:r>
        <w:rPr>
          <w:rFonts w:ascii="Times New Roman;serif" w:hAnsi="Times New Roman;serif"/>
          <w:b w:val="false"/>
          <w:color w:val="000000"/>
          <w:sz w:val="20"/>
        </w:rPr>
        <w:t>Homebuilding revenues increased 10.3% to $437.5 million from $396.6 million.</w:t>
      </w:r>
    </w:p>
    <w:p>
      <w:pPr>
        <w:pStyle w:val="TextBody"/>
        <w:bidi w:val="0"/>
        <w:spacing w:lineRule="auto" w:line="288" w:before="60" w:after="283"/>
        <w:ind w:left="0" w:right="0" w:hanging="450"/>
        <w:jc w:val="both"/>
      </w:pPr>
      <w:r>
        <w:rPr>
          <w:color w:val="000000"/>
        </w:rPr>
        <w:t>•</w:t>
      </w:r>
      <w:r>
        <w:rPr>
          <w:rFonts w:ascii="Times New Roman;serif" w:hAnsi="Times New Roman;serif"/>
          <w:b w:val="false"/>
          <w:color w:val="000000"/>
          <w:sz w:val="20"/>
        </w:rPr>
        <w:t>Homes closed increased 11.6% to 1,189 homes from 1,065 homes.</w:t>
      </w:r>
    </w:p>
    <w:p>
      <w:pPr>
        <w:pStyle w:val="TextBody"/>
        <w:bidi w:val="0"/>
        <w:spacing w:lineRule="auto" w:line="288" w:before="60" w:after="283"/>
        <w:ind w:left="0" w:right="0" w:hanging="450"/>
        <w:jc w:val="both"/>
      </w:pPr>
      <w:r>
        <w:rPr>
          <w:color w:val="000000"/>
        </w:rPr>
        <w:t>•</w:t>
      </w:r>
      <w:r>
        <w:rPr>
          <w:rFonts w:ascii="Times New Roman;serif" w:hAnsi="Times New Roman;serif"/>
          <w:b w:val="false"/>
          <w:color w:val="000000"/>
          <w:sz w:val="20"/>
        </w:rPr>
        <w:t xml:space="preserve">Average sales price per home closed decreased 1.2% to $367,962 from $372,424. </w:t>
      </w:r>
    </w:p>
    <w:p>
      <w:pPr>
        <w:pStyle w:val="TextBody"/>
        <w:bidi w:val="0"/>
        <w:spacing w:lineRule="auto" w:line="288" w:before="60" w:after="283"/>
        <w:ind w:left="0" w:right="0" w:hanging="450"/>
        <w:jc w:val="both"/>
      </w:pPr>
      <w:r>
        <w:rPr>
          <w:color w:val="000000"/>
        </w:rPr>
        <w:t>•</w:t>
      </w:r>
      <w:r>
        <w:rPr>
          <w:rFonts w:ascii="Times New Roman;serif" w:hAnsi="Times New Roman;serif"/>
          <w:b w:val="false"/>
          <w:color w:val="000000"/>
          <w:sz w:val="20"/>
        </w:rPr>
        <w:t xml:space="preserve">Homebuilding gross margin as a percentage of homebuilding revenues decreased to 20.2% from 21.5%. </w:t>
      </w:r>
    </w:p>
    <w:p>
      <w:pPr>
        <w:pStyle w:val="TextBody"/>
        <w:bidi w:val="0"/>
        <w:spacing w:lineRule="auto" w:line="288" w:before="60" w:after="283"/>
        <w:ind w:left="0" w:right="0" w:hanging="450"/>
        <w:jc w:val="both"/>
      </w:pPr>
      <w:r>
        <w:rPr>
          <w:color w:val="000000"/>
        </w:rPr>
        <w:t>•</w:t>
      </w:r>
      <w:r>
        <w:rPr>
          <w:rFonts w:ascii="Times New Roman;serif" w:hAnsi="Times New Roman;serif"/>
          <w:b w:val="false"/>
          <w:color w:val="000000"/>
          <w:sz w:val="20"/>
        </w:rPr>
        <w:t xml:space="preserve">Adjusted homebuilding gross margin (non-GAAP) as a percentage of homebuilding revenues decreased to 23.7% from 24.5%. </w:t>
      </w:r>
    </w:p>
    <w:p>
      <w:pPr>
        <w:pStyle w:val="TextBody"/>
        <w:bidi w:val="0"/>
        <w:spacing w:lineRule="auto" w:line="288" w:before="60" w:after="283"/>
        <w:ind w:left="0" w:right="0" w:hanging="450"/>
        <w:jc w:val="both"/>
      </w:pPr>
      <w:r>
        <w:rPr>
          <w:color w:val="000000"/>
        </w:rPr>
        <w:t>•</w:t>
      </w:r>
      <w:r>
        <w:rPr>
          <w:rFonts w:ascii="Times New Roman;serif" w:hAnsi="Times New Roman;serif"/>
          <w:b w:val="false"/>
          <w:color w:val="000000"/>
          <w:sz w:val="20"/>
        </w:rPr>
        <w:t>Net income before income taxes increased 24.7% to $33.3 million from $26.7 million.</w:t>
      </w:r>
    </w:p>
    <w:p>
      <w:pPr>
        <w:pStyle w:val="TextBody"/>
        <w:bidi w:val="0"/>
        <w:spacing w:lineRule="auto" w:line="288" w:before="60" w:after="283"/>
        <w:ind w:left="0" w:right="0" w:hanging="450"/>
        <w:jc w:val="both"/>
      </w:pPr>
      <w:r>
        <w:rPr>
          <w:color w:val="000000"/>
        </w:rPr>
        <w:t>•</w:t>
      </w:r>
      <w:r>
        <w:rPr>
          <w:rFonts w:ascii="Times New Roman;serif" w:hAnsi="Times New Roman;serif"/>
          <w:b w:val="false"/>
          <w:color w:val="000000"/>
          <w:sz w:val="20"/>
        </w:rPr>
        <w:t>Net income increased 24.6% to $24.6 million from $19.7 million.</w:t>
      </w:r>
    </w:p>
    <w:p>
      <w:pPr>
        <w:pStyle w:val="TextBody"/>
        <w:bidi w:val="0"/>
        <w:spacing w:lineRule="auto" w:line="288" w:before="60" w:after="283"/>
        <w:ind w:left="0" w:right="0" w:hanging="450"/>
        <w:jc w:val="both"/>
      </w:pPr>
      <w:r>
        <w:rPr>
          <w:color w:val="000000"/>
        </w:rPr>
        <w:t>•</w:t>
      </w:r>
      <w:r>
        <w:rPr>
          <w:rFonts w:ascii="Times New Roman;serif" w:hAnsi="Times New Roman;serif"/>
          <w:b w:val="false"/>
          <w:color w:val="000000"/>
          <w:sz w:val="20"/>
        </w:rPr>
        <w:t>EBITDA (non-GAAP) as a percentage of total revenues increased to 11.2% from 9.6%.</w:t>
      </w:r>
    </w:p>
    <w:p>
      <w:pPr>
        <w:pStyle w:val="TextBody"/>
        <w:bidi w:val="0"/>
        <w:spacing w:lineRule="auto" w:line="288" w:before="240" w:after="283"/>
        <w:jc w:val="both"/>
      </w:pPr>
      <w:r>
        <w:rPr>
          <w:rFonts w:ascii="Times New Roman;serif" w:hAnsi="Times New Roman;serif"/>
          <w:b w:val="false"/>
          <w:color w:val="000000"/>
          <w:sz w:val="20"/>
        </w:rPr>
        <w:t>For reconciliations of the non-GAAP financial measures of adjusted homebuilding gross margin and EBITDA to the most directly comparable GAAP financial measures, please see “</w:t>
      </w:r>
      <w:hyperlink w:anchor="ie0c00a7a1b3747cca0be3263a7bf0011_289">
        <w:r>
          <w:rPr>
            <w:rStyle w:val="InternetLink"/>
            <w:color w:val="0000FF"/>
            <w:u w:val="single"/>
          </w:rPr>
          <w:t>—</w:t>
        </w:r>
      </w:hyperlink>
      <w:hyperlink w:anchor="ie0c00a7a1b3747cca0be3263a7bf0011_289">
        <w:r>
          <w:rPr>
            <w:rStyle w:val="InternetLink"/>
            <w:rFonts w:ascii="Times New Roman;serif" w:hAnsi="Times New Roman;serif"/>
            <w:b w:val="false"/>
            <w:color w:val="0000FF"/>
            <w:sz w:val="20"/>
            <w:u w:val="single"/>
          </w:rPr>
          <w:t>Non-GAAP Measures</w:t>
        </w:r>
      </w:hyperlink>
      <w:r>
        <w:rPr>
          <w:rFonts w:ascii="Times New Roman;serif" w:hAnsi="Times New Roman;serif"/>
          <w:b w:val="false"/>
          <w:color w:val="000000"/>
          <w:sz w:val="20"/>
        </w:rPr>
        <w:t>.”</w:t>
      </w:r>
    </w:p>
    <w:p>
      <w:pPr>
        <w:pStyle w:val="TextBody"/>
        <w:bidi w:val="0"/>
        <w:spacing w:before="240" w:after="283"/>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Key financial results as of and for the nine months ended September 30, 2026, as compared to the nine months ended September 30, 2025, were as follows:</w:t>
      </w:r>
    </w:p>
    <w:p>
      <w:pPr>
        <w:pStyle w:val="TextBody"/>
        <w:bidi w:val="0"/>
        <w:spacing w:lineRule="auto" w:line="288" w:before="60" w:after="283"/>
        <w:ind w:left="0" w:right="0" w:hanging="450"/>
        <w:jc w:val="both"/>
      </w:pPr>
      <w:r>
        <w:rPr>
          <w:color w:val="000000"/>
        </w:rPr>
        <w:t>•</w:t>
      </w:r>
      <w:r>
        <w:rPr>
          <w:rFonts w:ascii="Times New Roman;serif" w:hAnsi="Times New Roman;serif"/>
          <w:b w:val="false"/>
          <w:color w:val="000000"/>
          <w:sz w:val="20"/>
        </w:rPr>
        <w:t>Homebuilding revenues increased 2.2% to $1.3 billion from $1.2 billion.</w:t>
      </w:r>
    </w:p>
    <w:p>
      <w:pPr>
        <w:pStyle w:val="TextBody"/>
        <w:bidi w:val="0"/>
        <w:spacing w:lineRule="auto" w:line="288" w:before="60" w:after="283"/>
        <w:ind w:left="0" w:right="0" w:hanging="450"/>
        <w:jc w:val="both"/>
      </w:pPr>
      <w:r>
        <w:rPr>
          <w:color w:val="000000"/>
        </w:rPr>
        <w:t>•</w:t>
      </w:r>
      <w:r>
        <w:rPr>
          <w:rFonts w:ascii="Times New Roman;serif" w:hAnsi="Times New Roman;serif"/>
          <w:b w:val="false"/>
          <w:color w:val="000000"/>
          <w:sz w:val="20"/>
        </w:rPr>
        <w:t>Homes closed increased 1.5% to 3,435 homes from 3,384 homes.</w:t>
      </w:r>
    </w:p>
    <w:p>
      <w:pPr>
        <w:pStyle w:val="TextBody"/>
        <w:bidi w:val="0"/>
        <w:spacing w:lineRule="auto" w:line="288" w:before="60" w:after="283"/>
        <w:ind w:left="0" w:right="0" w:hanging="450"/>
        <w:jc w:val="both"/>
      </w:pPr>
      <w:r>
        <w:rPr>
          <w:color w:val="000000"/>
        </w:rPr>
        <w:t>•</w:t>
      </w:r>
      <w:r>
        <w:rPr>
          <w:rFonts w:ascii="Times New Roman;serif" w:hAnsi="Times New Roman;serif"/>
          <w:b w:val="false"/>
          <w:color w:val="000000"/>
          <w:sz w:val="20"/>
        </w:rPr>
        <w:t xml:space="preserve">Average sales price per home closed increased 0.7% to $366,449 from $363,929. </w:t>
      </w:r>
    </w:p>
    <w:p>
      <w:pPr>
        <w:pStyle w:val="TextBody"/>
        <w:bidi w:val="0"/>
        <w:spacing w:lineRule="auto" w:line="288" w:before="60" w:after="283"/>
        <w:ind w:left="0" w:right="0" w:hanging="450"/>
        <w:jc w:val="both"/>
      </w:pPr>
      <w:r>
        <w:rPr>
          <w:color w:val="000000"/>
        </w:rPr>
        <w:t>•</w:t>
      </w:r>
      <w:r>
        <w:rPr>
          <w:rFonts w:ascii="Times New Roman;serif" w:hAnsi="Times New Roman;serif"/>
          <w:b w:val="false"/>
          <w:color w:val="000000"/>
          <w:sz w:val="20"/>
        </w:rPr>
        <w:t xml:space="preserve">Homebuilding gross margin as a percentage of homebuilding revenues decreased to 19.7% from 21.9%. </w:t>
      </w:r>
    </w:p>
    <w:p>
      <w:pPr>
        <w:pStyle w:val="TextBody"/>
        <w:bidi w:val="0"/>
        <w:spacing w:lineRule="auto" w:line="288" w:before="60" w:after="283"/>
        <w:ind w:left="0" w:right="0" w:hanging="450"/>
        <w:jc w:val="both"/>
      </w:pPr>
      <w:r>
        <w:rPr>
          <w:color w:val="000000"/>
        </w:rPr>
        <w:t>•</w:t>
      </w:r>
      <w:r>
        <w:rPr>
          <w:rFonts w:ascii="Times New Roman;serif" w:hAnsi="Times New Roman;serif"/>
          <w:b w:val="false"/>
          <w:color w:val="000000"/>
          <w:sz w:val="20"/>
        </w:rPr>
        <w:t xml:space="preserve">Adjusted homebuilding gross margin (non-GAAP) as a percentage of homebuilding revenues decreased to 23.4% from 24.6%. </w:t>
      </w:r>
    </w:p>
    <w:p>
      <w:pPr>
        <w:pStyle w:val="TextBody"/>
        <w:bidi w:val="0"/>
        <w:spacing w:lineRule="auto" w:line="288" w:before="60" w:after="283"/>
        <w:ind w:left="0" w:right="0" w:hanging="450"/>
        <w:jc w:val="both"/>
      </w:pPr>
      <w:r>
        <w:rPr>
          <w:color w:val="000000"/>
        </w:rPr>
        <w:t>•</w:t>
      </w:r>
      <w:r>
        <w:rPr>
          <w:rFonts w:ascii="Times New Roman;serif" w:hAnsi="Times New Roman;serif"/>
          <w:b w:val="false"/>
          <w:color w:val="000000"/>
          <w:sz w:val="20"/>
        </w:rPr>
        <w:t>Net income before income taxes decreased 0.3% to $74.2 million from $74.5 million.</w:t>
      </w:r>
    </w:p>
    <w:p>
      <w:pPr>
        <w:pStyle w:val="TextBody"/>
        <w:bidi w:val="0"/>
        <w:spacing w:lineRule="auto" w:line="288" w:before="60" w:after="283"/>
        <w:ind w:left="0" w:right="0" w:hanging="450"/>
        <w:jc w:val="both"/>
      </w:pPr>
      <w:r>
        <w:rPr>
          <w:color w:val="000000"/>
        </w:rPr>
        <w:t>•</w:t>
      </w:r>
      <w:r>
        <w:rPr>
          <w:rFonts w:ascii="Times New Roman;serif" w:hAnsi="Times New Roman;serif"/>
          <w:b w:val="false"/>
          <w:color w:val="000000"/>
          <w:sz w:val="20"/>
        </w:rPr>
        <w:t>Net income decreased 2.8% to $53.7 million from $55.2 million.</w:t>
      </w:r>
    </w:p>
    <w:p>
      <w:pPr>
        <w:pStyle w:val="TextBody"/>
        <w:bidi w:val="0"/>
        <w:spacing w:lineRule="auto" w:line="288" w:before="60" w:after="283"/>
        <w:ind w:left="0" w:right="0" w:hanging="450"/>
        <w:jc w:val="both"/>
      </w:pPr>
      <w:r>
        <w:rPr>
          <w:color w:val="000000"/>
        </w:rPr>
        <w:t>•</w:t>
      </w:r>
      <w:r>
        <w:rPr>
          <w:rFonts w:ascii="Times New Roman;serif" w:hAnsi="Times New Roman;serif"/>
          <w:b w:val="false"/>
          <w:color w:val="000000"/>
          <w:sz w:val="20"/>
        </w:rPr>
        <w:t>EBITDA (non-GAAP) as a percentage of total revenues increased to 9.2% from 8.5%.</w:t>
      </w:r>
    </w:p>
    <w:p>
      <w:pPr>
        <w:pStyle w:val="TextBody"/>
        <w:bidi w:val="0"/>
        <w:spacing w:lineRule="auto" w:line="288" w:before="240" w:after="283"/>
        <w:jc w:val="both"/>
      </w:pPr>
      <w:r>
        <w:rPr>
          <w:rFonts w:ascii="Times New Roman;serif" w:hAnsi="Times New Roman;serif"/>
          <w:b w:val="false"/>
          <w:color w:val="000000"/>
          <w:sz w:val="20"/>
        </w:rPr>
        <w:t>For reconciliations of the non-GAAP financial measures of adjusted homebuilding gross margin and EBITDA to the most directly comparable GAAP financial measures, please see “</w:t>
      </w:r>
      <w:hyperlink w:anchor="ie0c00a7a1b3747cca0be3263a7bf0011_289">
        <w:r>
          <w:rPr>
            <w:rStyle w:val="InternetLink"/>
            <w:color w:val="0000FF"/>
            <w:u w:val="single"/>
          </w:rPr>
          <w:t>—</w:t>
        </w:r>
      </w:hyperlink>
      <w:hyperlink w:anchor="ie0c00a7a1b3747cca0be3263a7bf0011_289">
        <w:r>
          <w:rPr>
            <w:rStyle w:val="InternetLink"/>
            <w:rFonts w:ascii="Times New Roman;serif" w:hAnsi="Times New Roman;serif"/>
            <w:b w:val="false"/>
            <w:color w:val="0000FF"/>
            <w:sz w:val="20"/>
            <w:u w:val="single"/>
          </w:rPr>
          <w:t>Non-GAAP Measures</w:t>
        </w:r>
      </w:hyperlink>
      <w:r>
        <w:rPr>
          <w:rFonts w:ascii="Times New Roman;serif" w:hAnsi="Times New Roman;serif"/>
          <w:b w:val="false"/>
          <w:color w:val="000000"/>
          <w:sz w:val="20"/>
        </w:rPr>
        <w: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owned and controlled 58,400 lots at September 30, 2026 as compared to 57,406 lots at June 30, 2026 and 60,842 lots at December 31, 2025.</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pPr>
      <w:hyperlink w:anchor="ie0c00a7a1b3747cca0be3263a7bf0011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three and nine months ended September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119"/>
        <w:gridCol w:w="878"/>
        <w:gridCol w:w="882"/>
        <w:gridCol w:w="109"/>
        <w:gridCol w:w="109"/>
        <w:gridCol w:w="109"/>
        <w:gridCol w:w="218"/>
        <w:gridCol w:w="857"/>
        <w:gridCol w:w="281"/>
        <w:gridCol w:w="112"/>
        <w:gridCol w:w="112"/>
        <w:gridCol w:w="112"/>
        <w:gridCol w:w="218"/>
        <w:gridCol w:w="857"/>
        <w:gridCol w:w="281"/>
        <w:gridCol w:w="109"/>
        <w:gridCol w:w="109"/>
        <w:gridCol w:w="109"/>
        <w:gridCol w:w="211"/>
        <w:gridCol w:w="976"/>
        <w:gridCol w:w="271"/>
        <w:gridCol w:w="109"/>
        <w:gridCol w:w="109"/>
        <w:gridCol w:w="109"/>
        <w:gridCol w:w="211"/>
        <w:gridCol w:w="976"/>
        <w:gridCol w:w="271"/>
        <w:gridCol w:w="109"/>
        <w:gridCol w:w="109"/>
        <w:gridCol w:w="163"/>
      </w:tblGrid>
      <w:tr>
        <w:tc>
          <w:tcPr>
            <w:tcW w:w="111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9" w:type="dxa"/>
            <w:gridSpan w:val="6"/>
            <w:tcBorders/>
          </w:tcPr>
          <w:p>
            <w:pPr>
              <w:pStyle w:val="TableContents"/>
              <w:bidi w:val="0"/>
              <w:spacing w:before="0" w:after="283"/>
              <w:jc w:val="left"/>
              <w:rPr>
                <w:sz w:val="4"/>
                <w:szCs w:val="4"/>
              </w:rPr>
            </w:pPr>
            <w:r>
              <w:rPr>
                <w:sz w:val="4"/>
                <w:szCs w:val="4"/>
              </w:rPr>
            </w:r>
          </w:p>
        </w:tc>
      </w:tr>
      <w:t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9" w:type="dxa"/>
            <w:gridSpan w:val="6"/>
            <w:tcBorders/>
          </w:tcPr>
          <w:p>
            <w:pPr>
              <w:pStyle w:val="TableContents"/>
              <w:bidi w:val="0"/>
              <w:spacing w:before="0" w:after="283"/>
              <w:jc w:val="left"/>
              <w:rPr>
                <w:sz w:val="4"/>
                <w:szCs w:val="4"/>
              </w:rPr>
            </w:pPr>
            <w:r>
              <w:rPr>
                <w:sz w:val="4"/>
                <w:szCs w:val="4"/>
              </w:rPr>
            </w:r>
          </w:p>
        </w:tc>
      </w:tr>
      <w:t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thousands, except per share data and average home sales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Statement of Income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437,507 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396,632 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1,258,754 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1,231,537 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444,464 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403,501 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1,293,388 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1,275,131 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349,018 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311,520 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1,010,942 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962,104 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6,262 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355,280 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316,232 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1,041,379 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999,545 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35,757 </w:t>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35,661 </w:t>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112,556 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119,602 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27,967 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(6,180)</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33,309 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26,701 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74,465 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24,556 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19,704 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8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28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Financial and Operating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Average community count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Community count at end of period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Home closings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sales price per home closed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367,962 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372,424 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Homebuilding gross margin</w:t>
            </w:r>
            <w:r>
              <w:rPr>
                <w:color w:val="000000"/>
              </w:rPr>
              <w:t xml:space="preserve">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88,489 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85,112 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Homebuilding gross margin % </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Adjusted homebuilding gross margin </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103,661 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97,115 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Adjusted homebuilding gross margin % </w:t>
            </w:r>
            <w:r>
              <w:rPr>
                <w:rFonts w:ascii="Times New Roman;serif" w:hAnsi="Times New Roman;serif"/>
                <w:b w:val="false"/>
                <w:color w:val="000000"/>
                <w:sz w:val="13"/>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EBITDA </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Net income margin % </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EBITDA margin % </w:t>
            </w:r>
            <w:r>
              <w:rPr>
                <w:rFonts w:ascii="Times New Roman;serif" w:hAnsi="Times New Roman;serif"/>
                <w:b w:val="false"/>
                <w:color w:val="000000"/>
                <w:sz w:val="13"/>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Adjusted EBITDA </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Adjusted EBITDA margin % </w:t>
            </w:r>
            <w:r>
              <w:rPr>
                <w:rFonts w:ascii="Times New Roman;serif" w:hAnsi="Times New Roman;serif"/>
                <w:b w:val="false"/>
                <w:color w:val="000000"/>
                <w:sz w:val="13"/>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(1)Average community count is calculated as the sum of active communities at the end of each month in the period divided by the number of months in the period. Because communities open and close throughout a period, average community count better reflects the selling capacity available during the period than the period-end figure, and is used with average monthly absorption rate to explain changes in home closings. Management uses average community count together with absorption rate to evaluate the sales productivity of our communities and to forecast closings and revenues.</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(2)Community count at end of period is the number of active communities as of the last day of the period. The number of communities is a leading indicator of our capacity to sell homes and of our potential future closings and revenues, and indicates the pace at which we are opening and closing out communities. Management uses community count to plan land acquisition and development, allocate sales and construction resources, and set expectations for future growth.</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(3)Home closings represents the number of homes for which title has transferred to the buyer of a home during the period and for which we have recognized homebuilding revenues. Home closings is the primary driver of our homebuilding revenues and, together with average sales price per home closed, explains changes in revenues period over period. Management tracks closings against sales and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pPr>
      <w:hyperlink w:anchor="ie0c00a7a1b3747cca0be3263a7bf0011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production plans, uses closings to evaluate the pace of delivery by reportable segment, and incorporates closings into forecasts and capital allocation decisions.    </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(4)Homebuilding gross margin is homebuilding revenues less homebuilding costs.</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(5)Calculated as a percentage of homebuilding revenues.</w:t>
      </w:r>
    </w:p>
    <w:p>
      <w:pPr>
        <w:pStyle w:val="TextBody"/>
        <w:bidi w:val="0"/>
        <w:spacing w:lineRule="auto" w:line="288" w:before="120" w:after="283"/>
        <w:ind w:left="0" w:right="0" w:hanging="360"/>
        <w:jc w:val="both"/>
      </w:pPr>
      <w:r>
        <w:rPr>
          <w:rFonts w:ascii="Times New Roman;serif" w:hAnsi="Times New Roman;serif"/>
          <w:b w:val="false"/>
          <w:color w:val="000000"/>
          <w:sz w:val="18"/>
        </w:rPr>
        <w:t>(6)Adjusted homebuilding gross margin is a non-GAAP financial measure used by management as a supplemental measure in evaluating operating performance. We define homebuilding gross margin excluding inventory impairment as homebuilding gross margin less inventory impairment charges. We define adjusted homebuilding gross margin as homebuilding gross margin excluding inventory impairment, less capitalized interest, and adjustments resulting from the application of purchase accounting included in the cost of sales. Our management believes adjusted homebuilding gross margin is useful because it isolates the impact that capitalized interest, purchase accounting adjustments and inventory impairment have on homebuilding gross margin. However, because adjusted homebuilding gross margin excludes capitalized interest, purchase accounting adjustments and inventory impairment, which have real economic effects and could impact our results, the utility of adjusted homebuilding gross margin as a measure of our operating performance may be limited. In addition, other companies may not calculate adjusted homebuilding gross margin in the same manner that we do. Accordingly, adjusted homebuilding gross margin should be considered only as a supplement to homebuilding gross margin as a measure of our performance. Please see “</w:t>
      </w:r>
      <w:hyperlink w:anchor="ie0c00a7a1b3747cca0be3263a7bf0011_289">
        <w:r>
          <w:rPr>
            <w:rStyle w:val="InternetLink"/>
            <w:color w:val="0000FF"/>
            <w:u w:val="single"/>
          </w:rPr>
          <w:t>—</w:t>
        </w:r>
      </w:hyperlink>
      <w:hyperlink w:anchor="ie0c00a7a1b3747cca0be3263a7bf0011_289">
        <w:r>
          <w:rPr>
            <w:rStyle w:val="InternetLink"/>
            <w:rFonts w:ascii="Times New Roman;serif" w:hAnsi="Times New Roman;serif"/>
            <w:b w:val="false"/>
            <w:color w:val="0000FF"/>
            <w:sz w:val="18"/>
            <w:u w:val="single"/>
          </w:rPr>
          <w:t>Non-GAAP Measures</w:t>
        </w:r>
      </w:hyperlink>
      <w:r>
        <w:rPr>
          <w:color w:val="000000"/>
        </w:rPr>
        <w:t xml:space="preserve">” </w:t>
      </w:r>
      <w:r>
        <w:rPr>
          <w:rFonts w:ascii="Times New Roman;serif" w:hAnsi="Times New Roman;serif"/>
          <w:b w:val="false"/>
          <w:color w:val="000000"/>
          <w:sz w:val="18"/>
        </w:rPr>
        <w:t>for a reconciliation of adjusted homebuilding gross margin to homebuilding gross margin, which is the GAAP financial measure that our management believes to be most directly comparable.</w:t>
      </w:r>
    </w:p>
    <w:p>
      <w:pPr>
        <w:pStyle w:val="TextBody"/>
        <w:bidi w:val="0"/>
        <w:spacing w:lineRule="auto" w:line="288" w:before="120" w:after="283"/>
        <w:ind w:left="0" w:right="0" w:hanging="360"/>
        <w:jc w:val="both"/>
      </w:pPr>
      <w:r>
        <w:rPr>
          <w:rFonts w:ascii="Times New Roman;serif" w:hAnsi="Times New Roman;serif"/>
          <w:b w:val="false"/>
          <w:color w:val="000000"/>
          <w:sz w:val="18"/>
        </w:rPr>
        <w:t>(7)EBITDA and adjusted EBITDA are non-GAAP financial measures used by management as supplemental measures in evaluating operating performance. We define EBITDA as net income before (i) interest expense, (ii) income taxes, (iii) depreciation and amortization and (iv) capitalized interest amortized to the cost of sales. We define adjusted EBITDA as EBITDA before inventory impairment, stock-based compensation, purchase accounting adjustments, and dead deal costs, as applicable during a period. Our management believes that the presentation of EBITDA and adjusted EBITDA provides useful information to investors regarding our results of operations because it assists both investors and management in analyzing and benchmarking the performance and value of our business. EBITDA and adjusted EBITDA provide indicators of general economic performance that are not affected by fluctuations in interest rates or effective tax rates, levels of depreciation or amortization and items considered to be unusual or non-recurring. Accordingly, management believes that these measures are useful for comparing general operating performance from period to period. Other companies may define these measures differently and, as a result, our measures of EBITDA and adjusted EBITDA may not be directly comparable to the measures of other companies. Although we use EBITDA and adjusted EBITDA as financial measures to assess the performance of our business, the use of these measures is limited because they do not include certain material costs, such as interest and taxes, necessary to operate our business. EBITDA and adjusted EBITDA should be considered in addition to, and not as substitutes for, net income in accordance with GAAP as a measure of performance. Our presentation of EBITDA and adjusted EBITDA should not be construed as an indication that our future results will be unaffected by unusual or non-recurring items. Our use of EBITDA and adjusted EBITDA is limited as an analytical tool, and you should not consider these measures in isolation or as substitutes for analysis of our results as reported under GAAP. Please see “</w:t>
      </w:r>
      <w:hyperlink w:anchor="ie0c00a7a1b3747cca0be3263a7bf0011_289">
        <w:r>
          <w:rPr>
            <w:rStyle w:val="InternetLink"/>
            <w:color w:val="0000FF"/>
            <w:u w:val="single"/>
          </w:rPr>
          <w:t>—</w:t>
        </w:r>
      </w:hyperlink>
      <w:hyperlink w:anchor="ie0c00a7a1b3747cca0be3263a7bf0011_289">
        <w:r>
          <w:rPr>
            <w:rStyle w:val="InternetLink"/>
            <w:rFonts w:ascii="Times New Roman;serif" w:hAnsi="Times New Roman;serif"/>
            <w:b w:val="false"/>
            <w:color w:val="0000FF"/>
            <w:sz w:val="18"/>
            <w:u w:val="single"/>
          </w:rPr>
          <w:t>Non-GAAP Measures</w:t>
        </w:r>
      </w:hyperlink>
      <w:r>
        <w:rPr>
          <w:color w:val="000000"/>
        </w:rPr>
        <w:t xml:space="preserve">” </w:t>
      </w:r>
      <w:r>
        <w:rPr>
          <w:rFonts w:ascii="Times New Roman;serif" w:hAnsi="Times New Roman;serif"/>
          <w:b w:val="false"/>
          <w:color w:val="000000"/>
          <w:sz w:val="18"/>
        </w:rPr>
        <w:t>for reconciliations of EBITDA and adjusted EBITDA to net income, which is the GAAP financial measure that our management believes to be most directly comparable.</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(8)Calculated as a percentage of total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pPr>
      <w:r>
        <w:rPr>
          <w:rFonts w:ascii="Times New Roman;serif" w:hAnsi="Times New Roman;serif"/>
          <w:b/>
          <w:color w:val="000000"/>
          <w:sz w:val="20"/>
        </w:rPr>
        <w:t>Three Months Ended September 30,</w:t>
      </w:r>
      <w:r>
        <w:rPr>
          <w:color w:val="000000"/>
        </w:rPr>
        <w:t xml:space="preserve"> </w:t>
      </w:r>
      <w:r>
        <w:rPr>
          <w:rFonts w:ascii="Times New Roman;serif" w:hAnsi="Times New Roman;serif"/>
          <w:b/>
          <w:color w:val="000000"/>
          <w:sz w:val="20"/>
        </w:rPr>
        <w:t xml:space="preserve">2026 Compared to Three Months Ended September 30, 2025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homebuilding revenues, home closings, average sales price per home closed (ASP), average community count and average monthly absorption rate by reportable segment for the three months ended September 30, 2026 and 2025, and our community count by reportable segment as of September 30, 2026 and 2025, were as follows (revenues in thousands):</w:t>
      </w:r>
    </w:p>
    <w:tbl>
      <w:tblPr>
        <w:tblW w:w="10205" w:type="dxa"/>
        <w:jc w:val="left"/>
        <w:tblInd w:w="0" w:type="dxa"/>
        <w:tblLayout w:type="fixed"/>
        <w:tblCellMar>
          <w:top w:w="28" w:type="dxa"/>
          <w:left w:w="28" w:type="dxa"/>
          <w:bottom w:w="28" w:type="dxa"/>
          <w:right w:w="28" w:type="dxa"/>
        </w:tblCellMar>
      </w:tblPr>
      <w:tblGrid>
        <w:gridCol w:w="404"/>
        <w:gridCol w:w="355"/>
        <w:gridCol w:w="357"/>
        <w:gridCol w:w="109"/>
        <w:gridCol w:w="109"/>
        <w:gridCol w:w="109"/>
        <w:gridCol w:w="253"/>
        <w:gridCol w:w="993"/>
        <w:gridCol w:w="131"/>
        <w:gridCol w:w="109"/>
        <w:gridCol w:w="109"/>
        <w:gridCol w:w="109"/>
        <w:gridCol w:w="349"/>
        <w:gridCol w:w="287"/>
        <w:gridCol w:w="288"/>
        <w:gridCol w:w="109"/>
        <w:gridCol w:w="109"/>
        <w:gridCol w:w="109"/>
        <w:gridCol w:w="211"/>
        <w:gridCol w:w="826"/>
        <w:gridCol w:w="109"/>
        <w:gridCol w:w="109"/>
        <w:gridCol w:w="109"/>
        <w:gridCol w:w="109"/>
        <w:gridCol w:w="399"/>
        <w:gridCol w:w="399"/>
        <w:gridCol w:w="400"/>
        <w:gridCol w:w="109"/>
        <w:gridCol w:w="109"/>
        <w:gridCol w:w="109"/>
        <w:gridCol w:w="394"/>
        <w:gridCol w:w="394"/>
        <w:gridCol w:w="395"/>
        <w:gridCol w:w="109"/>
        <w:gridCol w:w="109"/>
        <w:gridCol w:w="109"/>
        <w:gridCol w:w="446"/>
        <w:gridCol w:w="348"/>
        <w:gridCol w:w="505"/>
      </w:tblGrid>
      <w:tr>
        <w:tc>
          <w:tcPr>
            <w:tcW w:w="40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 2026</w:t>
            </w:r>
          </w:p>
        </w:tc>
      </w:tr>
      <w:tr>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Homebuilding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Closings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Community 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Monthly Absorption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Community Count at End of Period</w:t>
            </w:r>
          </w:p>
        </w:tc>
      </w:tr>
      <w:tr>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103,495 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109,238 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108,581 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437,507 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4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5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pPr>
      <w:hyperlink w:anchor="ie0c00a7a1b3747cca0be3263a7bf0011_7">
        <w:r>
          <w:rPr>
            <w:rStyle w:val="InternetLink"/>
            <w:rFonts w:ascii="Times New Roman;serif" w:hAnsi="Times New Roman;serif"/>
            <w:b/>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404"/>
        <w:gridCol w:w="355"/>
        <w:gridCol w:w="357"/>
        <w:gridCol w:w="109"/>
        <w:gridCol w:w="109"/>
        <w:gridCol w:w="109"/>
        <w:gridCol w:w="253"/>
        <w:gridCol w:w="993"/>
        <w:gridCol w:w="131"/>
        <w:gridCol w:w="109"/>
        <w:gridCol w:w="109"/>
        <w:gridCol w:w="109"/>
        <w:gridCol w:w="349"/>
        <w:gridCol w:w="287"/>
        <w:gridCol w:w="288"/>
        <w:gridCol w:w="109"/>
        <w:gridCol w:w="109"/>
        <w:gridCol w:w="109"/>
        <w:gridCol w:w="211"/>
        <w:gridCol w:w="826"/>
        <w:gridCol w:w="109"/>
        <w:gridCol w:w="109"/>
        <w:gridCol w:w="109"/>
        <w:gridCol w:w="109"/>
        <w:gridCol w:w="399"/>
        <w:gridCol w:w="399"/>
        <w:gridCol w:w="400"/>
        <w:gridCol w:w="109"/>
        <w:gridCol w:w="109"/>
        <w:gridCol w:w="109"/>
        <w:gridCol w:w="394"/>
        <w:gridCol w:w="394"/>
        <w:gridCol w:w="395"/>
        <w:gridCol w:w="109"/>
        <w:gridCol w:w="109"/>
        <w:gridCol w:w="109"/>
        <w:gridCol w:w="446"/>
        <w:gridCol w:w="348"/>
        <w:gridCol w:w="505"/>
      </w:tblGrid>
      <w:tr>
        <w:tc>
          <w:tcPr>
            <w:tcW w:w="40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r>
      <w:tr>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Homebuilding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Closings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Community 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Monthly Absorption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Community Count at End of Period</w:t>
            </w:r>
          </w:p>
        </w:tc>
      </w:tr>
      <w:tr>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99,355 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396,632 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4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5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pPr>
      <w:r>
        <w:rPr>
          <w:rFonts w:ascii="Times New Roman;serif" w:hAnsi="Times New Roman;serif"/>
          <w:b w:val="false"/>
          <w:i/>
          <w:color w:val="000000"/>
          <w:sz w:val="20"/>
        </w:rPr>
        <w:t xml:space="preserve">Homebuilding Revenues. </w:t>
      </w:r>
      <w:r>
        <w:rPr>
          <w:rFonts w:ascii="Times New Roman;serif" w:hAnsi="Times New Roman;serif"/>
          <w:b w:val="false"/>
          <w:color w:val="000000"/>
          <w:sz w:val="20"/>
        </w:rPr>
        <w:t xml:space="preserve">Homebuilding revenues for the three months ended September 30, 2026 were $437.5 million, an increase of $40.9 million, or 10.3%, from $396.6 million for the three months ended September 30, 2025. The increase in homebuilding revenues was primarily due to an 11.6% increase in the number of homes closed during the three months ended September 30, 2026 as compared to the three months ended September 30, 2025. The overall increase in home closings was a result of greater wholesale closings during the three months ended September 30, 2026 as compared to the three months ended September 30, 2025. The increase in wholesale closings was primarily driven by higher demand from our wholesale channel customers during the three months ended September 30, 2026 as compared to the three months ended September 30, 2025. The average sales price per home closed during the three months ended September 30, 2026 was $367,962, a decrease of $4,462, or 1.2%, from the average sales price per home closed of $372,424 for the three months ended September 30, 2025. The decrease in the average sales price per home closed was primarily due to geographic mix and discounted older inventory. </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Included within our homebuilding revenues for the three months ended September 30, 2026 was $80.8 million in wholesale revenues resulting from 215 home closings, representing 18.1% of the 1,189 total number of homes closed during the three months ended September 30, 2026. Wholesale closings exclude previously leased homes. Included within our homebuilding revenues for the three months ended September 30, 2025 was $54.5 million in wholesale revenues resulting from 163 home closings, representing 15.3% of the 1,065 total number of homes closed during the three months ended September 30, 2025. The increase in homebuilding revenue generated by our wholesale channel was primarily related to a higher number of homes delivered related to a large wholesale contract with one of our single-family rental partners during the three months ended September 30, 2026 as compared to the three months ended September 30, 2025.</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Homebuilding revenues in our Central reportable segment increased by $4.1 million, or 4.2%, during the three months ended September 30, 2026 as compared to the three months ended September 30, 2025, primarily due to an 11.4% increase in the number of homes closed, partially offset by a 6.5% decrease in the average sales price per home closed, which included an increase in sales incentives. The increase in home closings was the result of an increase in the average community count.</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Homebuilding revenues in our Southeast reportable segment increased by $7.8 million, or 7.7%, during the three months ended September 30, 2026 as compared to the three months ended September 30, 2025, primarily due to a 12.0% increase in the number of homes closed, partially offset by a 3.9% decrease in the average sales price per home closed, which included an increase in sales incentives. The increase in home closings was the result of a higher absorption rate.</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Homebuilding revenues in our Northwest reportable segment increased by $10.7 million, or 21.7%, during the three months ended September 30, 2026 as compared to the three months ended September 30, 2025, primarily due to a 5.5% increase in the number of homes closed and a 15.3% increase in the average sales price per home closed, which included an increase in sales incentives. The increase in home closings was the result of an increase in the average community count.</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Homebuilding revenues in our West reportable segment increased by $16.9 million, or 18.4%, during the three months ended September 30, 2026 as compared to the three months ended September 30, 2025, primarily due to a 17.7% increase in the number of homes closed and a 0.6% increase in the average sales price per home closed, which included an increase in sales incentives. The increase in home closings was the result of an increase in the average community count.</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 xml:space="preserve">Homebuilding revenues in our Florida reportable segment increased by $1.3 million, or 2.4%, during the three months ended September 30, 2026, as compared to the three months ended September 30, 2025, primarily due to a 7.5% increase in the number of homes closed, partially offset by a 4.7% decrease in the average sales price per home closed,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pPr>
      <w:hyperlink w:anchor="ie0c00a7a1b3747cca0be3263a7bf0011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which included an increase in sales incentives. The increase in home closings was the result of a higher absorption rate.</w:t>
      </w:r>
    </w:p>
    <w:p>
      <w:pPr>
        <w:pStyle w:val="TextBody"/>
        <w:bidi w:val="0"/>
        <w:spacing w:lineRule="auto" w:line="288" w:before="120" w:after="283"/>
        <w:ind w:left="0" w:right="0" w:firstLine="450"/>
        <w:jc w:val="both"/>
      </w:pPr>
      <w:r>
        <w:rPr>
          <w:rFonts w:ascii="Times New Roman;serif" w:hAnsi="Times New Roman;serif"/>
          <w:b w:val="false"/>
          <w:i/>
          <w:color w:val="000000"/>
          <w:sz w:val="20"/>
        </w:rPr>
        <w:t>Land and Other Revenues</w:t>
      </w:r>
      <w:r>
        <w:rPr>
          <w:rFonts w:ascii="Times New Roman;serif" w:hAnsi="Times New Roman;serif"/>
          <w:b w:val="false"/>
          <w:color w:val="000000"/>
          <w:sz w:val="20"/>
        </w:rPr>
        <w:t>. Land and other revenues for the three months ended September 30, 2026 were $7.0 million, an increase of $0.1 million, or 1.3%, from $6.9 million for the three months ended September 30, 2025.</w:t>
      </w:r>
    </w:p>
    <w:p>
      <w:pPr>
        <w:pStyle w:val="TextBody"/>
        <w:bidi w:val="0"/>
        <w:spacing w:lineRule="auto" w:line="288" w:before="120" w:after="283"/>
        <w:ind w:left="0" w:right="0" w:firstLine="450"/>
        <w:jc w:val="both"/>
      </w:pPr>
      <w:r>
        <w:rPr>
          <w:rFonts w:ascii="Times New Roman;serif" w:hAnsi="Times New Roman;serif"/>
          <w:b w:val="false"/>
          <w:i/>
          <w:color w:val="000000"/>
          <w:sz w:val="20"/>
        </w:rPr>
        <w:t>Homebuilding Costs and Homebuilding Gross Margin (homebuilding revenues less homebuilding costs).</w:t>
      </w:r>
      <w:r>
        <w:rPr>
          <w:color w:val="000000"/>
        </w:rPr>
        <w:t xml:space="preserve"> </w:t>
      </w:r>
      <w:r>
        <w:rPr>
          <w:rFonts w:ascii="Times New Roman;serif" w:hAnsi="Times New Roman;serif"/>
          <w:b w:val="false"/>
          <w:color w:val="000000"/>
          <w:sz w:val="20"/>
        </w:rPr>
        <w:t>Homebuilding costs for the three months ended September 30, 2026 were $349.0 million, an increase of $37.5 million, or 12.0%, from $311.5 million for the three months ended September 30, 2025. This overall increase was primarily due to an 11.6% increase in the number of homes closed. Homebuilding gross margin for the three months ended September 30, 2026 was $88.5 million, an increase of $3.4 million, or 4.0%, from $85.1 million for the three months ended September 30, 2025. Homebuilding gross margin as a percentage of homebuilding revenues was 20.2% for the three months ended September 30, 2026 and 21.5% for the three months ended September 30, 2025. The decrease in homebuilding gross margin as a percentage of homebuilding revenues was primarily due to higher lot costs, higher wholesale closings, higher capitalized interest, and higher vertical costs during the three months ended September 30, 2026 as compared to the three months ended September 30, 2025.</w:t>
      </w:r>
    </w:p>
    <w:p>
      <w:pPr>
        <w:pStyle w:val="TextBody"/>
        <w:bidi w:val="0"/>
        <w:spacing w:lineRule="auto" w:line="288" w:before="120" w:after="283"/>
        <w:ind w:left="0" w:right="0" w:firstLine="450"/>
        <w:jc w:val="both"/>
      </w:pPr>
      <w:r>
        <w:rPr>
          <w:rFonts w:ascii="Times New Roman;serif" w:hAnsi="Times New Roman;serif"/>
          <w:b w:val="false"/>
          <w:i/>
          <w:color w:val="000000"/>
          <w:sz w:val="20"/>
        </w:rPr>
        <w:t>Selling Expenses.</w:t>
      </w:r>
      <w:r>
        <w:rPr>
          <w:color w:val="000000"/>
        </w:rPr>
        <w:t xml:space="preserve"> </w:t>
      </w:r>
      <w:r>
        <w:rPr>
          <w:rFonts w:ascii="Times New Roman;serif" w:hAnsi="Times New Roman;serif"/>
          <w:b w:val="false"/>
          <w:color w:val="000000"/>
          <w:sz w:val="20"/>
        </w:rPr>
        <w:t>Selling expenses for the three months ended September 30, 2026 were $35.8 million, an increase of $0.1 million, or 0.3%, from $35.7 million for the three months ended September 30, 2025. The increase in selling expenses was primarily due to an increase in the number of homes closed for the three months ended September 30, 2026 as compared to the three months ended September 30, 2025. Sales commissions increased to $15.8 million for the three months ended September 30, 2026 from $15.2 million for the three months ended September 30, 2025, primarily due to an increase in the number of homes closed. Selling expenses as a percentage of total revenues were 8.0% and 8.8% for the three months ended September 30, 2026 and 2025, respectively. The decrease in selling expenses as a percentage of total revenues was primarily due to higher home closings during the three months ended September 30, 2026 as compared to the three months ended September 30, 2025.</w:t>
      </w:r>
    </w:p>
    <w:p>
      <w:pPr>
        <w:pStyle w:val="TextBody"/>
        <w:bidi w:val="0"/>
        <w:spacing w:lineRule="auto" w:line="288" w:before="120" w:after="283"/>
        <w:ind w:left="0" w:right="0" w:firstLine="450"/>
        <w:jc w:val="both"/>
      </w:pP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General and administrative expenses for the three months ended September 30, 2026 were $26.3 million, a decrease of $1.7 million, or 6.0%, from $28.0 million for the three months ended September 30, 2025. General and administrative expenses as a percentage of total revenues were 5.9% and 6.9% during the three months ended September 30, 2026 and 2025, respectively. The decrease in general and administrative expenses as a percentage of total revenues was primarily due to lower indirect overhead, lower headcount, and lower legal expenses and an increase in total revenues during the three months ended September 30, 2026 as compared to the three months ended September 30, 2025.</w:t>
      </w:r>
    </w:p>
    <w:p>
      <w:pPr>
        <w:pStyle w:val="TextBody"/>
        <w:bidi w:val="0"/>
        <w:spacing w:lineRule="auto" w:line="288" w:before="120" w:after="283"/>
        <w:ind w:left="0" w:right="0" w:firstLine="450"/>
        <w:jc w:val="both"/>
      </w:pPr>
      <w:r>
        <w:rPr>
          <w:rFonts w:ascii="Times New Roman;serif" w:hAnsi="Times New Roman;serif"/>
          <w:b w:val="false"/>
          <w:i/>
          <w:color w:val="000000"/>
          <w:sz w:val="20"/>
        </w:rPr>
        <w:t>Other Income, Net.</w:t>
      </w:r>
      <w:r>
        <w:rPr>
          <w:color w:val="000000"/>
        </w:rPr>
        <w:t xml:space="preserve"> </w:t>
      </w:r>
      <w:r>
        <w:rPr>
          <w:rFonts w:ascii="Times New Roman;serif" w:hAnsi="Times New Roman;serif"/>
          <w:b w:val="false"/>
          <w:color w:val="000000"/>
          <w:sz w:val="20"/>
        </w:rPr>
        <w:t>Other income, net of other expenses for the three months ended September 30, 2026 was $6.2 million, an increase of $3.1 million from $3.1 million for the three months ended September 30, 2025. The increase in other income, net, primarily reflected the increase in income associated with our investment in unconsolidated entities and the increase in interest income recognized.</w:t>
      </w:r>
    </w:p>
    <w:p>
      <w:pPr>
        <w:pStyle w:val="TextBody"/>
        <w:bidi w:val="0"/>
        <w:spacing w:lineRule="auto" w:line="288" w:before="120" w:after="283"/>
        <w:ind w:left="0" w:right="0" w:firstLine="450"/>
        <w:jc w:val="both"/>
      </w:pPr>
      <w:r>
        <w:rPr>
          <w:rFonts w:ascii="Times New Roman;serif" w:hAnsi="Times New Roman;serif"/>
          <w:b w:val="false"/>
          <w:i/>
          <w:color w:val="000000"/>
          <w:sz w:val="20"/>
        </w:rPr>
        <w:t>Net Income before Income Taxes.</w:t>
      </w:r>
      <w:r>
        <w:rPr>
          <w:color w:val="000000"/>
        </w:rPr>
        <w:t xml:space="preserve"> </w:t>
      </w:r>
      <w:r>
        <w:rPr>
          <w:rFonts w:ascii="Times New Roman;serif" w:hAnsi="Times New Roman;serif"/>
          <w:b w:val="false"/>
          <w:color w:val="000000"/>
          <w:sz w:val="20"/>
        </w:rPr>
        <w:t>Net income before income taxes for the three months ended September 30, 2026 was $33.3 million, an increase of $6.6 million, or 24.7%, from $26.7 million for the three months ended September 30, 2025. The overall increase in net income before income taxes was primarily due to an increase in homebuilding gross margin, an increase in other income, net, and a decrease in general and administrative expenses. Our reportable segments contributed to net income before income taxes during the three months ended September 30, 2026 as follows: Central - $8.3 million, or 24.8%; Southeast - $8.7 million, or 26.2%; Northwest - $3.2 million, or 9.6%; West - $11.4 million, or 34.3%; and Florida - $(1.0) million, or (3.0)%.</w:t>
      </w:r>
    </w:p>
    <w:p>
      <w:pPr>
        <w:pStyle w:val="TextBody"/>
        <w:bidi w:val="0"/>
        <w:spacing w:lineRule="auto" w:line="288" w:before="120" w:after="283"/>
        <w:ind w:left="0" w:right="0" w:firstLine="450"/>
        <w:jc w:val="both"/>
      </w:pPr>
      <w:r>
        <w:rPr>
          <w:rFonts w:ascii="Times New Roman;serif" w:hAnsi="Times New Roman;serif"/>
          <w:b w:val="false"/>
          <w:i/>
          <w:color w:val="000000"/>
          <w:sz w:val="20"/>
        </w:rPr>
        <w:t>Income Taxes</w:t>
      </w:r>
      <w:r>
        <w:rPr>
          <w:rFonts w:ascii="Times New Roman;serif" w:hAnsi="Times New Roman;serif"/>
          <w:b w:val="false"/>
          <w:color w:val="000000"/>
          <w:sz w:val="20"/>
        </w:rPr>
        <w:t>. Income tax provision for the three months ended September 30, 2026 was $8.8 million, an increase of $1.8 million, or 25.1%, from income tax provision of $7.0 million for the three months ended September 30, 2025. The increase in our income tax provision was primarily due to the overall increase in net income before income taxes. The increase in our effective tax rate to 26.3% for the three months ended September 30, 2026 from 26.2% for the three months ended September 30, 2025 was primarily a result of state income taxes, net of the federal benefit, the compensation cost in excess of deductions for share-based payments, and the compensation limitation under Section 162(m) of the Internal Revenue Code, as amended, and other nondeductible expenses.</w:t>
      </w:r>
    </w:p>
    <w:p>
      <w:pPr>
        <w:pStyle w:val="TextBody"/>
        <w:bidi w:val="0"/>
        <w:spacing w:lineRule="auto" w:line="288" w:before="120" w:after="283"/>
        <w:ind w:left="0" w:right="0" w:firstLine="450"/>
        <w:jc w:val="both"/>
      </w:pPr>
      <w:r>
        <w:rPr>
          <w:rFonts w:ascii="Times New Roman;serif" w:hAnsi="Times New Roman;serif"/>
          <w:b w:val="false"/>
          <w:i/>
          <w:color w:val="000000"/>
          <w:sz w:val="20"/>
        </w:rPr>
        <w:t>Net Income</w:t>
      </w:r>
      <w:r>
        <w:rPr>
          <w:rFonts w:ascii="Times New Roman;serif" w:hAnsi="Times New Roman;serif"/>
          <w:b w:val="false"/>
          <w:color w:val="000000"/>
          <w:sz w:val="20"/>
        </w:rPr>
        <w:t xml:space="preserve">. Net income for the three months ended September 30, 2026 was $24.6 million, an increase of $4.9 million, or 24.6%, from $19.7 million for the three months ended September 30, 2025. The increase in net income during the three months ended September 30, 2026 as compared to the three months ended September 30, 2025 was primarily attributed to an increase in homebuilding gross margin, an increase in other income, net, and a decrease in general and administrative expenses.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pPr>
      <w:hyperlink w:anchor="ie0c00a7a1b3747cca0be3263a7bf0011_7">
        <w:r>
          <w:rPr>
            <w:rStyle w:val="InternetLink"/>
            <w:rFonts w:ascii="Times New Roman;serif" w:hAnsi="Times New Roman;serif"/>
            <w:b/>
            <w:color w:val="0000FF"/>
            <w:sz w:val="20"/>
            <w:u w:val="single"/>
          </w:rPr>
          <w:t>Table of Contents</w:t>
        </w:r>
      </w:hyperlink>
    </w:p>
    <w:p>
      <w:pPr>
        <w:pStyle w:val="TextBody"/>
        <w:bidi w:val="0"/>
        <w:spacing w:before="120" w:after="283"/>
        <w:ind w:left="0" w:right="0" w:firstLine="45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Nine Months Ended September 30, 2026 Compared to Nine Months Ended September 30, 2025</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homebuilding revenues, home closings, average sales price per home closed (ASP), average community count and average monthly absorption rate by reportable segment for the nine months ended September 30, 2026 and 2025, and our community count by reportable segment as of September 30, 2026 and 2025, were as follows (revenues in thousands):</w:t>
      </w:r>
    </w:p>
    <w:tbl>
      <w:tblPr>
        <w:tblW w:w="10205" w:type="dxa"/>
        <w:jc w:val="left"/>
        <w:tblInd w:w="0" w:type="dxa"/>
        <w:tblLayout w:type="fixed"/>
        <w:tblCellMar>
          <w:top w:w="28" w:type="dxa"/>
          <w:left w:w="28" w:type="dxa"/>
          <w:bottom w:w="28" w:type="dxa"/>
          <w:right w:w="28" w:type="dxa"/>
        </w:tblCellMar>
      </w:tblPr>
      <w:tblGrid>
        <w:gridCol w:w="400"/>
        <w:gridCol w:w="351"/>
        <w:gridCol w:w="353"/>
        <w:gridCol w:w="109"/>
        <w:gridCol w:w="109"/>
        <w:gridCol w:w="109"/>
        <w:gridCol w:w="222"/>
        <w:gridCol w:w="1027"/>
        <w:gridCol w:w="115"/>
        <w:gridCol w:w="109"/>
        <w:gridCol w:w="109"/>
        <w:gridCol w:w="109"/>
        <w:gridCol w:w="347"/>
        <w:gridCol w:w="284"/>
        <w:gridCol w:w="285"/>
        <w:gridCol w:w="109"/>
        <w:gridCol w:w="109"/>
        <w:gridCol w:w="109"/>
        <w:gridCol w:w="211"/>
        <w:gridCol w:w="826"/>
        <w:gridCol w:w="109"/>
        <w:gridCol w:w="109"/>
        <w:gridCol w:w="109"/>
        <w:gridCol w:w="109"/>
        <w:gridCol w:w="393"/>
        <w:gridCol w:w="393"/>
        <w:gridCol w:w="394"/>
        <w:gridCol w:w="109"/>
        <w:gridCol w:w="109"/>
        <w:gridCol w:w="109"/>
        <w:gridCol w:w="384"/>
        <w:gridCol w:w="384"/>
        <w:gridCol w:w="385"/>
        <w:gridCol w:w="109"/>
        <w:gridCol w:w="109"/>
        <w:gridCol w:w="109"/>
        <w:gridCol w:w="471"/>
        <w:gridCol w:w="371"/>
        <w:gridCol w:w="373"/>
        <w:gridCol w:w="165"/>
      </w:tblGrid>
      <w:tr>
        <w:tc>
          <w:tcPr>
            <w:tcW w:w="40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0" w:type="dxa"/>
            <w:gridSpan w:val="22"/>
            <w:tcBorders/>
          </w:tcPr>
          <w:p>
            <w:pPr>
              <w:pStyle w:val="TableContents"/>
              <w:bidi w:val="0"/>
              <w:spacing w:before="0" w:after="283"/>
              <w:jc w:val="left"/>
              <w:rPr>
                <w:sz w:val="4"/>
                <w:szCs w:val="4"/>
              </w:rPr>
            </w:pPr>
            <w:r>
              <w:rPr>
                <w:sz w:val="4"/>
                <w:szCs w:val="4"/>
              </w:rPr>
            </w:r>
          </w:p>
        </w:tc>
      </w:tr>
      <w:t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 2026</w:t>
            </w:r>
          </w:p>
        </w:tc>
        <w:tc>
          <w:tcPr>
            <w:tcW w:w="165" w:type="dxa"/>
            <w:tcBorders/>
            <w:vAlign w:val="center"/>
          </w:tcPr>
          <w:p>
            <w:pPr>
              <w:pStyle w:val="TableContents"/>
              <w:bidi w:val="0"/>
              <w:spacing w:before="0" w:after="283"/>
              <w:jc w:val="left"/>
              <w:rPr>
                <w:sz w:val="4"/>
                <w:szCs w:val="4"/>
              </w:rPr>
            </w:pPr>
            <w:r>
              <w:rPr>
                <w:sz w:val="4"/>
                <w:szCs w:val="4"/>
              </w:rPr>
            </w:r>
          </w:p>
        </w:tc>
      </w:tr>
      <w:tr>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Homebuilding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Closings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Community 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Monthly Absorption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Community Count at End of Period</w:t>
            </w:r>
          </w:p>
        </w:tc>
        <w:tc>
          <w:tcPr>
            <w:tcW w:w="165" w:type="dxa"/>
            <w:tcBorders/>
            <w:vAlign w:val="center"/>
          </w:tcPr>
          <w:p>
            <w:pPr>
              <w:pStyle w:val="TableContents"/>
              <w:bidi w:val="0"/>
              <w:spacing w:before="0" w:after="283"/>
              <w:jc w:val="left"/>
              <w:rPr>
                <w:sz w:val="4"/>
                <w:szCs w:val="4"/>
              </w:rPr>
            </w:pPr>
            <w:r>
              <w:rPr>
                <w:sz w:val="4"/>
                <w:szCs w:val="4"/>
              </w:rPr>
            </w:r>
          </w:p>
        </w:tc>
      </w:tr>
      <w:tr>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320,432 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1,258,754 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3,435 </w:t>
            </w:r>
          </w:p>
        </w:tc>
        <w:tc>
          <w:tcPr>
            <w:tcW w:w="2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3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3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00"/>
        <w:gridCol w:w="351"/>
        <w:gridCol w:w="353"/>
        <w:gridCol w:w="109"/>
        <w:gridCol w:w="109"/>
        <w:gridCol w:w="109"/>
        <w:gridCol w:w="222"/>
        <w:gridCol w:w="1027"/>
        <w:gridCol w:w="115"/>
        <w:gridCol w:w="109"/>
        <w:gridCol w:w="109"/>
        <w:gridCol w:w="109"/>
        <w:gridCol w:w="347"/>
        <w:gridCol w:w="284"/>
        <w:gridCol w:w="285"/>
        <w:gridCol w:w="109"/>
        <w:gridCol w:w="109"/>
        <w:gridCol w:w="109"/>
        <w:gridCol w:w="211"/>
        <w:gridCol w:w="826"/>
        <w:gridCol w:w="109"/>
        <w:gridCol w:w="109"/>
        <w:gridCol w:w="109"/>
        <w:gridCol w:w="109"/>
        <w:gridCol w:w="393"/>
        <w:gridCol w:w="393"/>
        <w:gridCol w:w="394"/>
        <w:gridCol w:w="109"/>
        <w:gridCol w:w="109"/>
        <w:gridCol w:w="109"/>
        <w:gridCol w:w="384"/>
        <w:gridCol w:w="384"/>
        <w:gridCol w:w="385"/>
        <w:gridCol w:w="109"/>
        <w:gridCol w:w="109"/>
        <w:gridCol w:w="109"/>
        <w:gridCol w:w="471"/>
        <w:gridCol w:w="371"/>
        <w:gridCol w:w="373"/>
        <w:gridCol w:w="165"/>
      </w:tblGrid>
      <w:tr>
        <w:tc>
          <w:tcPr>
            <w:tcW w:w="40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0" w:type="dxa"/>
            <w:gridSpan w:val="22"/>
            <w:tcBorders/>
          </w:tcPr>
          <w:p>
            <w:pPr>
              <w:pStyle w:val="TableContents"/>
              <w:bidi w:val="0"/>
              <w:spacing w:before="0" w:after="283"/>
              <w:jc w:val="left"/>
              <w:rPr>
                <w:sz w:val="4"/>
                <w:szCs w:val="4"/>
              </w:rPr>
            </w:pPr>
            <w:r>
              <w:rPr>
                <w:sz w:val="4"/>
                <w:szCs w:val="4"/>
              </w:rPr>
            </w:r>
          </w:p>
        </w:tc>
      </w:tr>
      <w:t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c>
          <w:tcPr>
            <w:tcW w:w="165" w:type="dxa"/>
            <w:tcBorders/>
            <w:vAlign w:val="center"/>
          </w:tcPr>
          <w:p>
            <w:pPr>
              <w:pStyle w:val="TableContents"/>
              <w:bidi w:val="0"/>
              <w:spacing w:before="0" w:after="283"/>
              <w:jc w:val="left"/>
              <w:rPr>
                <w:sz w:val="4"/>
                <w:szCs w:val="4"/>
              </w:rPr>
            </w:pPr>
            <w:r>
              <w:rPr>
                <w:sz w:val="4"/>
                <w:szCs w:val="4"/>
              </w:rPr>
            </w:r>
          </w:p>
        </w:tc>
      </w:tr>
      <w:tr>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Homebuilding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Closings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Community 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Monthly Absorption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Community Count at End of Period</w:t>
            </w:r>
          </w:p>
        </w:tc>
        <w:tc>
          <w:tcPr>
            <w:tcW w:w="165" w:type="dxa"/>
            <w:tcBorders/>
            <w:vAlign w:val="center"/>
          </w:tcPr>
          <w:p>
            <w:pPr>
              <w:pStyle w:val="TableContents"/>
              <w:bidi w:val="0"/>
              <w:spacing w:before="0" w:after="283"/>
              <w:jc w:val="left"/>
              <w:rPr>
                <w:sz w:val="4"/>
                <w:szCs w:val="4"/>
              </w:rPr>
            </w:pPr>
            <w:r>
              <w:rPr>
                <w:sz w:val="4"/>
                <w:szCs w:val="4"/>
              </w:rPr>
            </w:r>
          </w:p>
        </w:tc>
      </w:tr>
      <w:tr>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313,487 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1,231,537 </w:t>
            </w:r>
          </w:p>
        </w:tc>
        <w:tc>
          <w:tcPr>
            <w:tcW w:w="11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3,384 </w:t>
            </w:r>
          </w:p>
        </w:tc>
        <w:tc>
          <w:tcPr>
            <w:tcW w:w="2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363,929 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39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7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pPr>
      <w:r>
        <w:rPr>
          <w:rFonts w:ascii="Times New Roman;serif" w:hAnsi="Times New Roman;serif"/>
          <w:b w:val="false"/>
          <w:i/>
          <w:color w:val="000000"/>
          <w:sz w:val="20"/>
        </w:rPr>
        <w:t>Homebuilding Revenues</w:t>
      </w:r>
      <w:r>
        <w:rPr>
          <w:rFonts w:ascii="Times New Roman;serif" w:hAnsi="Times New Roman;serif"/>
          <w:b w:val="false"/>
          <w:color w:val="000000"/>
          <w:sz w:val="20"/>
        </w:rPr>
        <w:t>. Homebuilding revenues for the nine months ended September 30, 2026 were $1.3 billion, an increase of $27.2 million, or 2.2%, from $1.2 billion for the nine months ended September 30, 2025. The increase in homebuilding revenues was primarily due to an increase in the number of homes closed during the nine months ended September 30, 2026 as compared to the nine months ended September 30, 2025. The overall increase in home closings was a result of a higher average community count during the nine months ended September 30, 2026 as compared to the nine months ended September 30, 2025. The overall increase in average community count related to timing associated with new community openings, offset by the close out of some communities and transition between certain active communities during the nine months ended September 30, 2026 as compared to the nine months ended September 30, 2025. The average sales price per home closed during the nine months ended September 30, 2026 was $366,449, an increase of $2,520, or 0.7%, from the average sales price per home closed of $363,929 for the nine months ended September 30, 2025. The increase in the average sales price per home closed was primarily due to geographic mix. The absorption rate remained unchanged.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Included within our homebuilding revenues for the nine months ended September 30, 2026 was $184.1 million in wholesale revenues resulting from 621 home closings, representing 18.1% of the 3,435 total number of homes closed during the nine months ended September 30, 2026. Included within our homebuilding revenues for the nine months ended September 30, 2025 was $180.4 million in wholesale revenues resulting from 579 home closings, representing 17.1% of the 3,384 total number of homes closed during the nine months ended September 30, 2025. Wholesale closings exclude previously leased homes. The increase in home closings as a percentage of total closings through our wholesale channel was primarily related to higher demand from our wholesale channel customers during the nine months ended September 30, 2026 as compared to the nine months ended September 30, 2025.</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 xml:space="preserve">Homebuilding revenues in our Central reportable segment increased by $6.9 million, or 2.2%, during the nine months ended September 30, 2026 as compared to the nine months ended September 30, 2025, primarily due to a 6.0%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pPr>
      <w:hyperlink w:anchor="ie0c00a7a1b3747cca0be3263a7bf0011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increase in the number of homes closed, offset by a 3.6% decrease in the average sales price per home closed, which included an increase in sales incentives. The increase in home closings was the result of an increase in the average community count.</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Homebuilding revenues in our Southeast reportable segment decreased by $63.5 million, or 18.0%, during the nine months ended September 30, 2026 as compared to the nine months ended September 30, 2025, primarily due to a 17.8% decrease in the number of homes closed. The decrease in home closings was the result of a lower absorption rate and a decrease in the average community count.</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Homebuilding revenues in our Northwest reportable segment increased by $19.6 million, or 14.3%, during the nine months ended September 30, 2026 as compared to the nine months ended September 30, 2025, primarily due to a 10.2% increase in the number of homes closed and a 3.7% increase in the average sales price per home closed, which included an increase in sales incentives. The increase in home closings was the result of an increase in the average community count.</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Homebuilding revenues in our West reportable segment increased by $60.0 million, or 23.2%, during the nine months ended September 30, 2026 as compared to the nine months ended September 30, 2025, primarily due to a 19.9% increase in the number of homes closed and a 2.7% increase in the average sales price per home closed, which included an increase in sales incentives. The increase in home closings was the result of an increase in the average community count and a higher absorption rate.</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Homebuilding revenues in our Florida reportable segment increased by $4.1 million, or 2.4%, during the nine months ended September 30, 2026 as compared to the nine months ended September 30, 2025, primarily due to a 7.7% increase in the number of homes closed, partially offset by a 4.9% decrease in the average sales price per home closed, which included an increase in sales incentives. The increase in home closings was the result of a higher absorption rate.</w:t>
      </w:r>
    </w:p>
    <w:p>
      <w:pPr>
        <w:pStyle w:val="TextBody"/>
        <w:bidi w:val="0"/>
        <w:spacing w:lineRule="auto" w:line="268" w:before="120" w:after="283"/>
        <w:ind w:left="0" w:right="0" w:firstLine="450"/>
        <w:jc w:val="both"/>
      </w:pPr>
      <w:r>
        <w:rPr>
          <w:rFonts w:ascii="Times New Roman;serif" w:hAnsi="Times New Roman;serif"/>
          <w:b w:val="false"/>
          <w:i/>
          <w:color w:val="000000"/>
          <w:sz w:val="20"/>
        </w:rPr>
        <w:t>Land and Other Revenues</w:t>
      </w:r>
      <w:r>
        <w:rPr>
          <w:rFonts w:ascii="Times New Roman;serif" w:hAnsi="Times New Roman;serif"/>
          <w:b w:val="false"/>
          <w:color w:val="000000"/>
          <w:sz w:val="20"/>
        </w:rPr>
        <w:t xml:space="preserve">. Land and other revenues for the nine months ended September 30, 2026 were $34.6 million, a decrease of $9.0 million, or 20.6%, from $43.6 million for the nine months ended September 30, 2025. The decrease in land and other revenues was primarily due to fewer lot sales. </w:t>
      </w:r>
    </w:p>
    <w:p>
      <w:pPr>
        <w:pStyle w:val="TextBody"/>
        <w:bidi w:val="0"/>
        <w:spacing w:lineRule="auto" w:line="288" w:before="120" w:after="283"/>
        <w:ind w:left="0" w:right="0" w:firstLine="450"/>
        <w:jc w:val="both"/>
      </w:pPr>
      <w:r>
        <w:rPr>
          <w:rFonts w:ascii="Times New Roman;serif" w:hAnsi="Times New Roman;serif"/>
          <w:b w:val="false"/>
          <w:i/>
          <w:color w:val="000000"/>
          <w:sz w:val="20"/>
        </w:rPr>
        <w:t>Homebuilding Costs and Homebuilding Gross Margin (homebuilding revenues less homebuilding costs).</w:t>
      </w:r>
      <w:r>
        <w:rPr>
          <w:color w:val="000000"/>
        </w:rPr>
        <w:t xml:space="preserve"> </w:t>
      </w:r>
      <w:r>
        <w:rPr>
          <w:rFonts w:ascii="Times New Roman;serif" w:hAnsi="Times New Roman;serif"/>
          <w:b w:val="false"/>
          <w:color w:val="000000"/>
          <w:sz w:val="20"/>
        </w:rPr>
        <w:t xml:space="preserve">Homebuilding costs for the nine months ended September 30, 2026 were $1.0 billion, an increase of $48.8 million, or 5.1%, from $962.1 million for the nine months ended September 30, 2025. This overall increase was primarily due to higher house costs, higher lot costs, higher capitalized interest and higher indirect overhead. Homebuilding gross margin for the nine months ended September 30, 2026 was $247.8 million, a decrease of $21.6 million, or 8.0%, from $269.4 million for the nine months ended September 30, 2025. Homebuilding gross margin as a percentage of homebuilding revenues (inclusive of an inventory impairment charge) was 19.7% for the nine months ended September 30, 2026 and 21.9% for the nine months ended September 30, 2025. The decrease in homebuilding gross margin as a percentage of homebuilding revenues during the nine months ended September 30, 2026 as compared to the nine months ended September 30, 2025 was primarily due to higher lot costs, higher capitalized interest and higher indirect overhead, as well as an inventory impairment charge of $4.7 million, of which $2.4 million was related to our Florida reportable segment and $2.3 million was related to our Central reportable segment. </w:t>
      </w:r>
    </w:p>
    <w:p>
      <w:pPr>
        <w:pStyle w:val="TextBody"/>
        <w:bidi w:val="0"/>
        <w:spacing w:lineRule="auto" w:line="288" w:before="120" w:after="283"/>
        <w:ind w:left="0" w:right="0" w:firstLine="450"/>
        <w:jc w:val="both"/>
      </w:pPr>
      <w:r>
        <w:rPr>
          <w:rFonts w:ascii="Times New Roman;serif" w:hAnsi="Times New Roman;serif"/>
          <w:b w:val="false"/>
          <w:i/>
          <w:color w:val="000000"/>
          <w:sz w:val="20"/>
        </w:rPr>
        <w:t>Selling Expenses.</w:t>
      </w:r>
      <w:r>
        <w:rPr>
          <w:color w:val="000000"/>
        </w:rPr>
        <w:t xml:space="preserve"> </w:t>
      </w:r>
      <w:r>
        <w:rPr>
          <w:rFonts w:ascii="Times New Roman;serif" w:hAnsi="Times New Roman;serif"/>
          <w:b w:val="false"/>
          <w:color w:val="000000"/>
          <w:sz w:val="20"/>
        </w:rPr>
        <w:t>Selling expenses for the nine months ended September 30, 2026 were $112.6 million, a decrease of $7.0 million, or 5.9%, from $119.6 million for the nine months ended September 30, 2025. The decrease in selling expenses was primarily due to a decrease in personnel costs, advertising expenses, and commissions for the nine months ended September 30, 2026 as compared to the nine months ended September 30, 2025. Sales commissions decreased to $47.5 million during the nine months ended September 30, 2026 from $48.1 million for the nine months ended September 30, 2025, primarily due to a decrease in external commissions. Selling expenses as a percentage of total revenues were 8.7% and 9.4% for the nine months ended September 30, 2026 and 2025, respectively. The decrease in selling expenses as a percentage of total revenues was primarily due to lower overall expenses and an increase in total revenues during the nine months ended September 30, 2026 as compared to the nine months ended September 30, 2025.</w:t>
      </w:r>
    </w:p>
    <w:p>
      <w:pPr>
        <w:pStyle w:val="TextBody"/>
        <w:bidi w:val="0"/>
        <w:spacing w:lineRule="auto" w:line="288" w:before="120" w:after="283"/>
        <w:ind w:left="0" w:right="0" w:firstLine="450"/>
        <w:jc w:val="both"/>
      </w:pP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General and administrative expenses for the nine months ended September 30, 2026 were $82.7 million, a decrease of $5.8 million, or 6.6%, from $88.6 million for the nine months ended September 30, 2025. The decrease in general and administrative expenses was primarily due to a decrease in other general and administrative expenses and indirect overhead costs, partially offset by an increase in bonuses. General and administrative expenses as a percentage of total revenues were 6.4% and 6.9% for the nine months ended September 30, 2026 and 2025, respectively. The decrease in general and administrative expenses as a percentage of total revenues was primarily due to lower overall expenses and an increase in total revenues during the nine months ended September 30, 2026 as compared to the nine months ended September 30, 2025.</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pPr>
      <w:hyperlink w:anchor="ie0c00a7a1b3747cca0be3263a7bf0011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450"/>
        <w:jc w:val="both"/>
      </w:pPr>
      <w:r>
        <w:rPr>
          <w:rFonts w:ascii="Times New Roman;serif" w:hAnsi="Times New Roman;serif"/>
          <w:b w:val="false"/>
          <w:i/>
          <w:color w:val="000000"/>
          <w:sz w:val="20"/>
        </w:rPr>
        <w:t>Other Income, Net.</w:t>
      </w:r>
      <w:r>
        <w:rPr>
          <w:color w:val="000000"/>
        </w:rPr>
        <w:t xml:space="preserve"> </w:t>
      </w:r>
      <w:r>
        <w:rPr>
          <w:rFonts w:ascii="Times New Roman;serif" w:hAnsi="Times New Roman;serif"/>
          <w:b w:val="false"/>
          <w:color w:val="000000"/>
          <w:sz w:val="20"/>
        </w:rPr>
        <w:t>Other income, net of other expenses was $17.5 million for the nine months ended September 30, 2026, an increase of $10.4 million from $7.1 million for the nine months ended September 30, 2025. The increase in other income, net of other expenses, primarily reflected the increase in income associated with our investment in unconsolidated entities.</w:t>
      </w:r>
    </w:p>
    <w:p>
      <w:pPr>
        <w:pStyle w:val="TextBody"/>
        <w:bidi w:val="0"/>
        <w:spacing w:lineRule="auto" w:line="288" w:before="120" w:after="283"/>
        <w:ind w:left="0" w:right="0" w:firstLine="450"/>
        <w:jc w:val="both"/>
      </w:pPr>
      <w:r>
        <w:rPr>
          <w:rFonts w:ascii="Times New Roman;serif" w:hAnsi="Times New Roman;serif"/>
          <w:b w:val="false"/>
          <w:i/>
          <w:color w:val="000000"/>
          <w:sz w:val="20"/>
        </w:rPr>
        <w:t>Net Income before Income Taxes.</w:t>
      </w:r>
      <w:r>
        <w:rPr>
          <w:color w:val="000000"/>
        </w:rPr>
        <w:t xml:space="preserve"> </w:t>
      </w:r>
      <w:r>
        <w:rPr>
          <w:rFonts w:ascii="Times New Roman;serif" w:hAnsi="Times New Roman;serif"/>
          <w:b w:val="false"/>
          <w:color w:val="000000"/>
          <w:sz w:val="20"/>
        </w:rPr>
        <w:t>Net income before income taxes for the nine months ended September 30, 2026 was $74.2 million, a decrease of $0.2 million, or 0.3%, from $74.5 million for the nine months ended September 30, 2025. The overall decrease in net income before income taxes was primarily due to overall higher homebuilding costs and an inventory impairment charge, offset by higher homebuilding revenues, during the nine months ended September 30, 2026 as compared to the nine months ended September 30, 2025. Our reportable segments contributed to net income before income taxes during the nine months ended September 30, 2026 as follows: Central - $24.2 million, or 32.6%; Southeast - $20.3 million, or 27.4%; Northwest - $2.7 million, or 3.6%; West - $30.0 million, or 40.4%; and Florida - $(5.8) million, or (7.8)%.</w:t>
      </w:r>
    </w:p>
    <w:p>
      <w:pPr>
        <w:pStyle w:val="TextBody"/>
        <w:bidi w:val="0"/>
        <w:spacing w:lineRule="auto" w:line="288" w:before="120" w:after="283"/>
        <w:ind w:left="0" w:right="0" w:firstLine="450"/>
        <w:jc w:val="both"/>
      </w:pPr>
      <w:r>
        <w:rPr>
          <w:rFonts w:ascii="Times New Roman;serif" w:hAnsi="Times New Roman;serif"/>
          <w:b w:val="false"/>
          <w:i/>
          <w:color w:val="000000"/>
          <w:sz w:val="20"/>
        </w:rPr>
        <w:t>Income Taxes</w:t>
      </w:r>
      <w:r>
        <w:rPr>
          <w:rFonts w:ascii="Times New Roman;serif" w:hAnsi="Times New Roman;serif"/>
          <w:b w:val="false"/>
          <w:color w:val="000000"/>
          <w:sz w:val="20"/>
        </w:rPr>
        <w:t>. Income tax provision for the nine months ended September 30, 2026 was $20.5 million, an increase of $1.3 million, or 6.7%, from income tax provision of $19.2 million for the nine months ended September 30, 2025. The increase in our income tax provision was primarily due to the increase in our effective tax rate. The increase in our effective tax rate to 27.6% for the nine months ended September 30, 2026 from 25.8% for the nine months ended September 30, 2025 was primarily a result of state income taxes, net of the federal benefit, the compensation cost in excess of deductions for share-based payments, the compensation limitation under Section 162(m) of the Internal Revenue Code, as amended, and other nondeductible expenses.</w:t>
      </w:r>
    </w:p>
    <w:p>
      <w:pPr>
        <w:pStyle w:val="TextBody"/>
        <w:bidi w:val="0"/>
        <w:spacing w:lineRule="auto" w:line="288" w:before="120" w:after="283"/>
        <w:ind w:left="0" w:right="0" w:firstLine="450"/>
        <w:jc w:val="both"/>
      </w:pPr>
      <w:r>
        <w:rPr>
          <w:rFonts w:ascii="Times New Roman;serif" w:hAnsi="Times New Roman;serif"/>
          <w:b w:val="false"/>
          <w:i/>
          <w:color w:val="000000"/>
          <w:sz w:val="20"/>
        </w:rPr>
        <w:t>Net Income</w:t>
      </w:r>
      <w:r>
        <w:rPr>
          <w:rFonts w:ascii="Times New Roman;serif" w:hAnsi="Times New Roman;serif"/>
          <w:b w:val="false"/>
          <w:color w:val="000000"/>
          <w:sz w:val="20"/>
        </w:rPr>
        <w:t>. Net income for the nine months ended September 30, 2026 was $53.7 million, a decrease of $1.5 million, or 2.8%, from $55.2 million for the nine months ended September 30, 2025. The decrease in net income was primarily attributed to lower homebuilding gross margin, as well as an inventory impairment charge during the nine months ended September 30, 2026 as compared to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Non-GAAP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results reported in accordance with accounting principles generally accepted in the United States (“GAAP”), we have provided information in this Quarterly Report on Form 10-Q relating to homebuilding gross margin excluding inventory impairment, adjusted homebuilding gross margin, EBITDA, adjusted EBITDA, net debt to capital ratio, adjusted net income, adjusted basic earnings per share, and adjusted diluted earnings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Homebuilding Gross Margin Excluding Inventory Impairment and Adjusted Homebuilding Gross Margin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Homebuilding gross margin excluding inventory impairment and adjusted homebuilding gross margin are non-GAAP financial measures used by management as supplemental measures in evaluating operating performance. We define homebuilding gross margin excluding inventory impairment as homebuilding gross margin less inventory impairment charges. We define adjusted homebuilding gross margin as homebuilding gross margin excluding inventory impairments, less capitalized interest, and adjustments resulting from the application of purchase accounting included in the cost of sales. Our management believes homebuilding gross margin excluding inventory impairment and adjusted homebuilding gross margin are useful because they isolate the impact that capitalized interest, purchase accounting adjustments, and inventory impairment have on homebuilding gross margin. However, because homebuilding gross margin excluding inventory impairment and adjusted homebuilding gross margin exclude capitalized interest, purchase accounting adjustments, and inventory impairment, which have real economic effects and could impact our results, the utility of homebuilding gross margin excluding inventory impairment and adjusted homebuilding gross margin as measures of our operating performance may be limited. In addition, other companies may not calculate homebuilding gross margin excluding inventory impairment and adjusted homebuilding gross margin in the same manner that we do. Accordingly, homebuilding gross margin excluding inventory impairment and adjusted homebuilding gross margin should be considered only as supplements to homebuilding gross margin as a measure of our performance.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homebuilding gross margin excluding inventory impairment and adjusted homebuilding gross margin to homebuilding gross margin, which is the GAAP financial measure that our management believes to be most directly comparable (dollars in thousands):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pPr>
      <w:hyperlink w:anchor="ie0c00a7a1b3747cca0be3263a7bf0011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060"/>
        <w:gridCol w:w="932"/>
        <w:gridCol w:w="934"/>
        <w:gridCol w:w="109"/>
        <w:gridCol w:w="109"/>
        <w:gridCol w:w="109"/>
        <w:gridCol w:w="215"/>
        <w:gridCol w:w="844"/>
        <w:gridCol w:w="277"/>
        <w:gridCol w:w="111"/>
        <w:gridCol w:w="111"/>
        <w:gridCol w:w="111"/>
        <w:gridCol w:w="215"/>
        <w:gridCol w:w="844"/>
        <w:gridCol w:w="277"/>
        <w:gridCol w:w="109"/>
        <w:gridCol w:w="109"/>
        <w:gridCol w:w="109"/>
        <w:gridCol w:w="211"/>
        <w:gridCol w:w="976"/>
        <w:gridCol w:w="271"/>
        <w:gridCol w:w="109"/>
        <w:gridCol w:w="109"/>
        <w:gridCol w:w="109"/>
        <w:gridCol w:w="211"/>
        <w:gridCol w:w="976"/>
        <w:gridCol w:w="271"/>
        <w:gridCol w:w="109"/>
        <w:gridCol w:w="109"/>
        <w:gridCol w:w="159"/>
      </w:tblGrid>
      <w:tr>
        <w:tc>
          <w:tcPr>
            <w:tcW w:w="106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6"/>
            <w:tcBorders/>
          </w:tcPr>
          <w:p>
            <w:pPr>
              <w:pStyle w:val="TableContents"/>
              <w:bidi w:val="0"/>
              <w:spacing w:before="0" w:after="283"/>
              <w:jc w:val="left"/>
              <w:rPr>
                <w:sz w:val="4"/>
                <w:szCs w:val="4"/>
              </w:rPr>
            </w:pPr>
            <w:r>
              <w:rPr>
                <w:sz w:val="4"/>
                <w:szCs w:val="4"/>
              </w:rPr>
            </w:r>
          </w:p>
        </w:tc>
      </w:tr>
      <w:tr>
        <w:tc>
          <w:tcPr>
            <w:tcW w:w="2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437,507 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396,632 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1,258,754 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1,231,537 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349,018 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311,520 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1,010,942 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962,104 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88,489 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85,112 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247,812 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269,433 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Inventory impairment</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gross margin excluding inventory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88,489 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85,112 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252,493 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269,433 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 amortized to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14,723 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11,004 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Purchase accounting adjustments</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homebuilding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103,661 </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97,115 </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295,046 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303,390 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Homebuilding gross margin %</w:t>
            </w:r>
            <w:r>
              <w:rPr>
                <w:color w:val="000000"/>
              </w:rPr>
              <w:t xml:space="preserv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7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7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Homebuilding gross margin % excluding inventory impairment</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Adjusted homebuilding gross margin %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(1)Adjustments result from the application of purchase accounting for acquisitions and represent the amount of the fair value step-up adjustments included in cost of sales for real estate inventory sold after the acquisition dates. </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(2)Calculated as a percentage of homebuilding revenues.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EBITDA and Adjusted EBITDA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EBITDA and adjusted EBITDA are non-GAAP financial measures used by management as supplemental measures in evaluating operating performance. We define EBITDA as net income before (i) interest expense, (ii) income taxes, (iii) depreciation and amortization and (iv) capitalized interest amortized to the cost of sales. We define adjusted EBITDA as EBITDA before inventory impairment, stock-based compensation, purchase accounting adjustments, and dead deal costs, as applicable during a period. Our management believes that the presentation of EBITDA and adjusted EBITDA provides useful information to investors regarding our results of operations because it assists both investors and management in analyzing and benchmarking the performance and value of our business. EBITDA and adjusted EBITDA provide indicators of general economic performance that are not affected by fluctuations in interest rates or effective tax rates, levels of depreciation or amortization and items considered to be unusual or non-recurring. Accordingly, our management believes that these measures are useful for comparing general operating performance from period to period. Other companies may define these measures differently and, as a result, our measures of EBITDA and adjusted EBITDA may not be directly comparable to the measures of other companies. Although we use EBITDA and adjusted EBITDA as financial measures to assess the performance of our business, the use of these measures is limited because they do not include certain material costs, such as interest and taxes, necessary to operate our business. EBITDA and adjusted EBITDA should be considered in addition to, and not as substitutes for, net income in accordance with GAAP as a measure of performance. Our presentation of EBITDA and adjusted EBITDA should not be construed as an indication that our future results will be unaffected by unusual or non-recurring items. Our use of EBITDA and adjusted EBITDA is limited as an analytical tool, and you should not consider these measures in isolation or as substitutes for analysis of our results as reported under GAAP. Some of these limitations are: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 they do not reflect every cash expenditure, future requirements for capital expenditures or contractual commitments, including for purchase of land; </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 they do not reflect the interest expense or the cash requirements necessary to service interest or principal payments on our debt; </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(iii) although depreciation and amortization are non-cash charges, the assets being depreciated and amortized will often have to be replaced or require improvements in the future, and EBITDA and adjusted EBITDA do not reflect any cash requirements for such replacements or improvements; </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(iv) they do not adjust for all non-cash income or expense items that are reflected in our statements of cash flows; </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(v) they do not reflect the impact of earnings or charges resulting from matters we consider not to be indicative of our ongoing operations; and </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(vi) other companies in our industry may calculate them differently than we do, limiting their usefulness as a comparative measure.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pPr>
      <w:hyperlink w:anchor="ie0c00a7a1b3747cca0be3263a7bf0011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Because of these limitations, our EBITDA and adjusted EBITDA should not be considered as measures of discretionary cash available to us to invest in the growth of our business or as measures of cash that will be available to us to meet our obligations. We compensate for these limitations by using our EBITDA and adjusted EBITDA along with other comparative tools, together with GAAP measures, to assist in the evaluation of operating performance. These GAAP measures include net income and cash flow data. We have significant uses of cash flows, including capital expenditures, interest payments and other non-recurring charges, which are not reflected in our EBITDA and adjusted EBITDA. EBITDA and adjusted EBITDA are not intended as alternatives to net income as indicators of our operating performance, as alternatives to any other measure of performance in conformity with GAAP or as alternatives to cash flows as a measure of liquidity. You should therefore not place undue reliance on our EBITDA and adjusted EBITDA calculated using these measures.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EBITDA and adjusted EBITDA to net income, which is the GAAP financial measure that our management believes to be most directly comparable (dollars in thousands):</w:t>
      </w:r>
    </w:p>
    <w:tbl>
      <w:tblPr>
        <w:tblW w:w="10205" w:type="dxa"/>
        <w:jc w:val="left"/>
        <w:tblInd w:w="0" w:type="dxa"/>
        <w:tblLayout w:type="fixed"/>
        <w:tblCellMar>
          <w:top w:w="28" w:type="dxa"/>
          <w:left w:w="28" w:type="dxa"/>
          <w:bottom w:w="28" w:type="dxa"/>
          <w:right w:w="28" w:type="dxa"/>
        </w:tblCellMar>
      </w:tblPr>
      <w:tblGrid>
        <w:gridCol w:w="1218"/>
        <w:gridCol w:w="980"/>
        <w:gridCol w:w="973"/>
        <w:gridCol w:w="109"/>
        <w:gridCol w:w="109"/>
        <w:gridCol w:w="109"/>
        <w:gridCol w:w="232"/>
        <w:gridCol w:w="797"/>
        <w:gridCol w:w="299"/>
        <w:gridCol w:w="120"/>
        <w:gridCol w:w="120"/>
        <w:gridCol w:w="120"/>
        <w:gridCol w:w="232"/>
        <w:gridCol w:w="797"/>
        <w:gridCol w:w="299"/>
        <w:gridCol w:w="109"/>
        <w:gridCol w:w="109"/>
        <w:gridCol w:w="109"/>
        <w:gridCol w:w="214"/>
        <w:gridCol w:w="838"/>
        <w:gridCol w:w="274"/>
        <w:gridCol w:w="110"/>
        <w:gridCol w:w="110"/>
        <w:gridCol w:w="110"/>
        <w:gridCol w:w="214"/>
        <w:gridCol w:w="838"/>
        <w:gridCol w:w="274"/>
        <w:gridCol w:w="109"/>
        <w:gridCol w:w="109"/>
        <w:gridCol w:w="164"/>
      </w:tblGrid>
      <w:tr>
        <w:tc>
          <w:tcPr>
            <w:tcW w:w="121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3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3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08" w:type="dxa"/>
            <w:gridSpan w:val="6"/>
            <w:tcBorders/>
          </w:tcPr>
          <w:p>
            <w:pPr>
              <w:pStyle w:val="TableContents"/>
              <w:bidi w:val="0"/>
              <w:spacing w:before="0" w:after="283"/>
              <w:jc w:val="left"/>
              <w:rPr>
                <w:sz w:val="4"/>
                <w:szCs w:val="4"/>
              </w:rPr>
            </w:pPr>
            <w:r>
              <w:rPr>
                <w:sz w:val="4"/>
                <w:szCs w:val="4"/>
              </w:rPr>
            </w:r>
          </w:p>
        </w:tc>
      </w:tr>
      <w:tr>
        <w:tc>
          <w:tcPr>
            <w:tcW w:w="3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3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3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24,556 </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19,704 </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53,700 </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55,231 </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8,753 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6,997 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 amortized to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14,723 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11,004 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31,107 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49,595 </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38,883 </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119,474 </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108,625 </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6,993 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accounting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Dead deal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52,703 </w:t>
            </w:r>
          </w:p>
        </w:tc>
        <w:tc>
          <w:tcPr>
            <w:tcW w:w="2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42,039 </w:t>
            </w:r>
          </w:p>
        </w:tc>
        <w:tc>
          <w:tcPr>
            <w:tcW w:w="2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135,734 </w:t>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121,429 </w:t>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Net income margin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9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9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EBITDA margin %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Adjusted EBITDA margin %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(1)Calculated as a percentage of total revenues.</w:t>
      </w:r>
    </w:p>
    <w:p>
      <w:pPr>
        <w:pStyle w:val="TextBody"/>
        <w:bidi w:val="0"/>
        <w:spacing w:lineRule="auto" w:line="268" w:before="180" w:after="120"/>
        <w:jc w:val="both"/>
        <w:rPr>
          <w:rFonts w:ascii="Times New Roman;serif" w:hAnsi="Times New Roman;serif"/>
          <w:b/>
          <w:color w:val="000000"/>
          <w:sz w:val="20"/>
        </w:rPr>
      </w:pPr>
      <w:r>
        <w:rPr>
          <w:rFonts w:ascii="Times New Roman;serif" w:hAnsi="Times New Roman;serif"/>
          <w:b/>
          <w:color w:val="000000"/>
          <w:sz w:val="20"/>
        </w:rPr>
        <w:t>Net Debt to Capital Ratio</w:t>
      </w:r>
    </w:p>
    <w:p>
      <w:pPr>
        <w:pStyle w:val="TextBody"/>
        <w:bidi w:val="0"/>
        <w:spacing w:lineRule="auto" w:line="26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Net debt to capital ratio is a non-GAAP financial measure used by management as a supplemental measure in understanding the leverage employed in our operations and as an indicator of our ability to obtain financing. We define net debt to capital ratio as net debt (which is total debt minus cash and cash equivalents) divided by net debt plus total equity. Our management believes that the presentation of net debt to capital ratio provides useful information to investors regarding our financial leverage and our ability to meet long-term obligations. By excluding cash and cash equivalents from total debt, the ratio offers a clearer view of our capital structure and financial flexibility. Our management uses this metric to monitor our capital efficiency and to evaluate the effectiveness of our capital management strategies over time. Other companies may define this measure differently and, as a result, our measure of net debt to capital ratio may not be directly comparable to the measures of other companies.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debt to capital ratio to debt to capital ratio, which is the GAAP financial measure that our management believes to be most directly comparable (dollars in thousands):</w:t>
      </w:r>
    </w:p>
    <w:tbl>
      <w:tblPr>
        <w:tblW w:w="7151" w:type="dxa"/>
        <w:jc w:val="left"/>
        <w:tblInd w:w="0" w:type="dxa"/>
        <w:tblLayout w:type="fixed"/>
        <w:tblCellMar>
          <w:top w:w="28" w:type="dxa"/>
          <w:left w:w="28" w:type="dxa"/>
          <w:bottom w:w="28" w:type="dxa"/>
          <w:right w:w="28" w:type="dxa"/>
        </w:tblCellMar>
      </w:tblPr>
      <w:tblGrid>
        <w:gridCol w:w="1030"/>
        <w:gridCol w:w="908"/>
        <w:gridCol w:w="911"/>
        <w:gridCol w:w="109"/>
        <w:gridCol w:w="109"/>
        <w:gridCol w:w="109"/>
        <w:gridCol w:w="256"/>
        <w:gridCol w:w="1185"/>
        <w:gridCol w:w="329"/>
        <w:gridCol w:w="109"/>
        <w:gridCol w:w="109"/>
        <w:gridCol w:w="109"/>
        <w:gridCol w:w="249"/>
        <w:gridCol w:w="1155"/>
        <w:gridCol w:w="320"/>
        <w:gridCol w:w="154"/>
      </w:tblGrid>
      <w:tr>
        <w:tc>
          <w:tcPr>
            <w:tcW w:w="103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8" w:type="dxa"/>
            <w:gridSpan w:val="4"/>
            <w:tcBorders/>
          </w:tcPr>
          <w:p>
            <w:pPr>
              <w:pStyle w:val="TableContents"/>
              <w:bidi w:val="0"/>
              <w:spacing w:before="0" w:after="283"/>
              <w:jc w:val="left"/>
              <w:rPr>
                <w:sz w:val="4"/>
                <w:szCs w:val="4"/>
              </w:rPr>
            </w:pPr>
            <w:r>
              <w:rPr>
                <w:sz w:val="4"/>
                <w:szCs w:val="4"/>
              </w:rPr>
            </w:r>
          </w:p>
        </w:tc>
      </w:tr>
      <w:t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c>
          <w:tcPr>
            <w:tcW w:w="28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debt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1,544,466 </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1,656,803 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4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2,160,426 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2,096,289 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3,704,892 </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3,753,092 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4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Debt to capital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3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c>
          <w:tcPr>
            <w:tcW w:w="2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4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debt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1,544,466 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1,656,803 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49"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69,437 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61,247 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4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1,475,029 </w:t>
            </w:r>
          </w:p>
        </w:tc>
        <w:tc>
          <w:tcPr>
            <w:tcW w:w="3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1,595,556 </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pPr>
      <w:hyperlink w:anchor="ie0c00a7a1b3747cca0be3263a7bf0011_7">
        <w:r>
          <w:rPr>
            <w:rStyle w:val="InternetLink"/>
            <w:rFonts w:ascii="Times New Roman;serif" w:hAnsi="Times New Roman;serif"/>
            <w:b/>
            <w:color w:val="0000FF"/>
            <w:sz w:val="20"/>
            <w:u w:val="single"/>
          </w:rPr>
          <w:t>Table of Contents</w:t>
        </w:r>
      </w:hyperlink>
    </w:p>
    <w:tbl>
      <w:tblPr>
        <w:tblW w:w="5973" w:type="dxa"/>
        <w:jc w:val="left"/>
        <w:tblInd w:w="0" w:type="dxa"/>
        <w:tblLayout w:type="fixed"/>
        <w:tblCellMar>
          <w:top w:w="28" w:type="dxa"/>
          <w:left w:w="28" w:type="dxa"/>
          <w:bottom w:w="28" w:type="dxa"/>
          <w:right w:w="28" w:type="dxa"/>
        </w:tblCellMar>
      </w:tblPr>
      <w:tblGrid>
        <w:gridCol w:w="815"/>
        <w:gridCol w:w="714"/>
        <w:gridCol w:w="720"/>
        <w:gridCol w:w="109"/>
        <w:gridCol w:w="109"/>
        <w:gridCol w:w="109"/>
        <w:gridCol w:w="211"/>
        <w:gridCol w:w="976"/>
        <w:gridCol w:w="271"/>
        <w:gridCol w:w="109"/>
        <w:gridCol w:w="109"/>
        <w:gridCol w:w="109"/>
        <w:gridCol w:w="211"/>
        <w:gridCol w:w="976"/>
        <w:gridCol w:w="271"/>
        <w:gridCol w:w="154"/>
      </w:tblGrid>
      <w:t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2,160,426 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2,096,289 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4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net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3,635,455 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3,691,845 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pPr>
            <w:r>
              <w:rPr>
                <w:rFonts w:ascii="Times New Roman;serif" w:hAnsi="Times New Roman;serif"/>
                <w:b w:val="false"/>
                <w:color w:val="000000"/>
                <w:sz w:val="20"/>
              </w:rPr>
              <w:t xml:space="preserve">Net debt to capital ratio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27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27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 Net debt to capital ratio is calculated as net debt (which is total debt minus cash and cash equivalents) divided by net debt plus total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Adjusted Net Income, Adjusted Basic Earnings per Share, and Adjusted Diluted Earnings per Share</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Adjusted net income, adjusted basic earnings per share, and adjusted diluted earnings per share are non-GAAP financial measures used by management as supplemental measures in evaluating operating performance. We define adjusted net income as net income less inventory impairment charges. We define adjusted basic earnings per share as adjusted net income divided by weighted average basic shares outstanding. We define adjusted diluted earnings per share as adjusted net income divided by weighted average diluted shares outstanding. Our management believes that the presentation of adjusted net income, adjusted basic earnings per share, and adjusted diluted earnings per share provides useful information to investors because such measures isolate the impact that inventory impairment charges have on net income and earnings per share. However, because adjusted net income, adjusted basic earnings per share, and adjusted diluted earnings per share exclude the inventory impairment charge, which has real economic effects and could impact the results, the utility of adjusted net income, adjusted basic earnings per share, and adjusted diluted earnings per share as measures of our operating performance may be limited. In addition, other companies may not calculate adjusted net income, adjusted basic earnings per share, and adjusted diluted earnings per share in the same manner that we do. Accordingly, adjusted net income, adjusted basic earnings per share, and adjusted diluted earnings per share should be considered only as supplements to net income, basic earnings per share, and diluted earnings per share, respectively, as measures of our performance.</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adjusted net income to net income, which is the GAAP financial measure that our management believes to be most directly comparable, and adjusted basic earnings per share and adjusted diluted earnings per share are calculated by dividing adjusted net income by basic or diluted weighted average shares outstanding, respectively (dollars in thousands, except earnings per share):</w:t>
      </w:r>
    </w:p>
    <w:tbl>
      <w:tblPr>
        <w:tblW w:w="10205" w:type="dxa"/>
        <w:jc w:val="left"/>
        <w:tblInd w:w="0" w:type="dxa"/>
        <w:tblLayout w:type="fixed"/>
        <w:tblCellMar>
          <w:top w:w="28" w:type="dxa"/>
          <w:left w:w="28" w:type="dxa"/>
          <w:bottom w:w="28" w:type="dxa"/>
          <w:right w:w="28" w:type="dxa"/>
        </w:tblCellMar>
      </w:tblPr>
      <w:tblGrid>
        <w:gridCol w:w="1332"/>
        <w:gridCol w:w="1171"/>
        <w:gridCol w:w="1184"/>
        <w:gridCol w:w="273"/>
        <w:gridCol w:w="900"/>
        <w:gridCol w:w="132"/>
        <w:gridCol w:w="132"/>
        <w:gridCol w:w="132"/>
        <w:gridCol w:w="132"/>
        <w:gridCol w:w="273"/>
        <w:gridCol w:w="900"/>
        <w:gridCol w:w="132"/>
        <w:gridCol w:w="109"/>
        <w:gridCol w:w="109"/>
        <w:gridCol w:w="109"/>
        <w:gridCol w:w="262"/>
        <w:gridCol w:w="876"/>
        <w:gridCol w:w="128"/>
        <w:gridCol w:w="128"/>
        <w:gridCol w:w="128"/>
        <w:gridCol w:w="128"/>
        <w:gridCol w:w="262"/>
        <w:gridCol w:w="876"/>
        <w:gridCol w:w="128"/>
        <w:gridCol w:w="109"/>
        <w:gridCol w:w="160"/>
      </w:tblGrid>
      <w:tr>
        <w:tc>
          <w:tcPr>
            <w:tcW w:w="133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368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3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3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3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24,556 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19,704 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53,700 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55,231 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3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number of shares outstanding</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23,331,728 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23,056,904 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23,210,620 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23,223,736 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3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3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number of shares outstanding</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23,466,066 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23,149,005 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23,281,055 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23,289,280 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3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340"/>
        <w:gridCol w:w="1164"/>
        <w:gridCol w:w="1182"/>
        <w:gridCol w:w="273"/>
        <w:gridCol w:w="900"/>
        <w:gridCol w:w="132"/>
        <w:gridCol w:w="132"/>
        <w:gridCol w:w="132"/>
        <w:gridCol w:w="132"/>
        <w:gridCol w:w="273"/>
        <w:gridCol w:w="900"/>
        <w:gridCol w:w="132"/>
        <w:gridCol w:w="109"/>
        <w:gridCol w:w="109"/>
        <w:gridCol w:w="109"/>
        <w:gridCol w:w="262"/>
        <w:gridCol w:w="876"/>
        <w:gridCol w:w="128"/>
        <w:gridCol w:w="128"/>
        <w:gridCol w:w="128"/>
        <w:gridCol w:w="128"/>
        <w:gridCol w:w="262"/>
        <w:gridCol w:w="876"/>
        <w:gridCol w:w="128"/>
        <w:gridCol w:w="109"/>
        <w:gridCol w:w="161"/>
      </w:tblGrid>
      <w:tr>
        <w:tc>
          <w:tcPr>
            <w:tcW w:w="134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24,556 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19,704 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53,700 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55,231 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impairment</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 due to above reconciling item</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24,556 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19,704 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57,156 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55,231 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number of shares outstanding</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23,331,728 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23,056,904 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23,210,620 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23,223,736 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basic earnings per share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number of shares outstanding</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23,466,066 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23,149,005 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23,281,055 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23,289,280 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earnings per share</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pPr>
      <w:hyperlink w:anchor="ie0c00a7a1b3747cca0be3263a7bf0011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Backlog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sell our homes under standard purchase contracts, which generally require a homebuyer to pay a deposit at the time of signing the purchase contract. The amount of the required deposit is minimal (typically $1,000 to $10,000). We permit our retail homebuyers to cancel the purchase contract and obtain a refund of their deposit in the event mortgage financing cannot be obtained within a certain period of time, as specified in their purchase contract. Typically, our retail homebuyers provide documentation regarding their ability to obtain mortgage financing within 14 days after the purchase contract is signed. If we determine that the homebuyer is not qualified to obtain mortgage financing or is not otherwise financially able to purchase the home, we will terminate the purchase contract. If a purchase contract has not been cancelled or terminated within 14 days after the purchase contract has been signed, then we have assumed the homebuyer will meet the preliminary criteria to obtain mortgage financing. Only purchase contracts that are signed by homebuyers who have met the preliminary criteria to obtain mortgage financing are included in new (gross) orders.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“backlog” consists of homes that are under a purchase contract that has been signed by homebuyers who have met the preliminary criteria to obtain mortgage financing but have not yet closed and wholesale contracts with varying terms. Since our business model is generally based on building move-in ready homes before a purchase contract is signed, the majority of our homes in backlog are currently under construction or complete. Ending backlog represents the number of homes in backlog from the previous period plus the number of net orders (new orders for homes less cancellations) generated during the current period minus the number of homes closed during the current period. Our backlog at any given time will be affected by cancellations, the number of our active communities and the timing of home closings. Homes in backlog are generally closed within one to two months, although home closings have been, and may continue to be, delayed. In addition, we may experience cancellations of purchase contracts at any time prior to closing. It is important to note that net orders, backlog and cancellation metrics are operational, rather than accounting data, and should be used only as a general gauge to evaluate performance. Backlog may be impacted by customer cancellations for various reasons that are beyond our control, and in light of our minimal required deposit, there is little negative impact to the potential homebuyer from the cancellation of the purchase contract. </w:t>
      </w:r>
    </w:p>
    <w:p>
      <w:pPr>
        <w:pStyle w:val="TextBody"/>
        <w:bidi w:val="0"/>
        <w:spacing w:lineRule="auto" w:line="288" w:before="12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Net orders for the nine months ended September 30, 2026 were 2,869 homes, a decrease of 30.0% from 4,098 homes for the nine months ended September 30, 2025, reflecting continued affordability pressures and higher mortgage rates. The cancellation rate increased to 48.9% in 2026 from 28.1% in 2025, primarily due to financing challenges and buyer sensitivity to market conditions. Ending backlog declined to 685 homes, with an aggregate value of $273.7 million at September 30, 2026, compared to 1,305 homes valued at $498.7 million at September 30, 2025, which represented decreases of 47.5% in units and 45.1% in value. The decreases were driven by lower net orders and elevated cancellation rates. A significant portion of backlog relates to homes further along in construction and expected to close in the near term. However, conversion to revenue remains subject to construction timing, buyer financing, and incentive levels. Elevated cancellation rates and changes in market conditions could affect the pace of backlog conversion and future homebuilding gross margins.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the dates set forth below, our net orders, cancellation rate and ending backlog homes and value were as follows (dollars in thousands):</w:t>
      </w:r>
    </w:p>
    <w:tbl>
      <w:tblPr>
        <w:tblW w:w="6053" w:type="dxa"/>
        <w:jc w:val="left"/>
        <w:tblInd w:w="0" w:type="dxa"/>
        <w:tblLayout w:type="fixed"/>
        <w:tblCellMar>
          <w:top w:w="28" w:type="dxa"/>
          <w:left w:w="28" w:type="dxa"/>
          <w:bottom w:w="28" w:type="dxa"/>
          <w:right w:w="28" w:type="dxa"/>
        </w:tblCellMar>
      </w:tblPr>
      <w:tblGrid>
        <w:gridCol w:w="852"/>
        <w:gridCol w:w="751"/>
        <w:gridCol w:w="752"/>
        <w:gridCol w:w="109"/>
        <w:gridCol w:w="109"/>
        <w:gridCol w:w="109"/>
        <w:gridCol w:w="215"/>
        <w:gridCol w:w="842"/>
        <w:gridCol w:w="276"/>
        <w:gridCol w:w="111"/>
        <w:gridCol w:w="111"/>
        <w:gridCol w:w="111"/>
        <w:gridCol w:w="215"/>
        <w:gridCol w:w="842"/>
        <w:gridCol w:w="276"/>
        <w:gridCol w:w="109"/>
        <w:gridCol w:w="109"/>
        <w:gridCol w:w="154"/>
      </w:tblGrid>
      <w:tr>
        <w:tc>
          <w:tcPr>
            <w:tcW w:w="85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705" w:type="dxa"/>
            <w:gridSpan w:val="6"/>
            <w:tcBorders/>
          </w:tcPr>
          <w:p>
            <w:pPr>
              <w:pStyle w:val="TableContents"/>
              <w:bidi w:val="0"/>
              <w:spacing w:before="0" w:after="283"/>
              <w:jc w:val="left"/>
              <w:rPr>
                <w:sz w:val="4"/>
                <w:szCs w:val="4"/>
              </w:rPr>
            </w:pPr>
            <w:r>
              <w:rPr>
                <w:sz w:val="4"/>
                <w:szCs w:val="4"/>
              </w:rPr>
            </w:r>
          </w:p>
        </w:tc>
      </w:tr>
      <w:t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Backlog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20"/>
              </w:rPr>
              <w:t xml:space="preserve">2026 </w:t>
            </w:r>
            <w:r>
              <w:rPr>
                <w:rFonts w:ascii="Times New Roman;serif" w:hAnsi="Times New Roman;serif"/>
                <w:b/>
                <w:color w:val="000000"/>
                <w:sz w:val="13"/>
              </w:rPr>
              <w:t>(4)</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20"/>
              </w:rPr>
              <w:t xml:space="preserve">2025 </w:t>
            </w:r>
            <w:r>
              <w:rPr>
                <w:rFonts w:ascii="Times New Roman;serif" w:hAnsi="Times New Roman;serif"/>
                <w:b/>
                <w:color w:val="000000"/>
                <w:sz w:val="13"/>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Net orders</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Cancellation rate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Ending backlog – homes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Ending backlog – value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273,711 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498,713 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(1)Net orders are new (gross) orders for the purchase of homes during the period, less cancellations of existing purchase contracts during the period.</w:t>
      </w:r>
    </w:p>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(2)Cancellation rate for a period is the total number of purchase contracts cancelled during the period divided by the total new (gross) orders for the purchase of homes during the period.</w:t>
      </w:r>
    </w:p>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(3)Ending backlog consists of retail homes at the end of the period that are under a purchase contract that has been signed by homebuyers who have met our preliminary financing criteria but have not yet closed and wholesale contracts with varying terms. Ending backlog is valued at the contract amount.</w:t>
      </w:r>
    </w:p>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(4)As of September 30, 2026, we had 85 units related to bulk sales agreements associated with our wholesale business.</w:t>
      </w:r>
    </w:p>
    <w:p>
      <w:pPr>
        <w:pStyle w:val="TextBody"/>
        <w:bidi w:val="0"/>
        <w:spacing w:lineRule="auto" w:line="288" w:before="6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(5)As of September 30, 2025, we had 60 units related to bulk sales agreements associated with our wholesale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Land Acquisition Policies and Development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had 151 and 144 active communities as of September 30, 2026 and December 31, 2025, respectively. Generally, it takes us three to four years to turn raw or undeveloped land into an active community. To mitigate our exposure to real estate inventory risks, we have utilized, on a limited and strategic basis, land banking financing arrangements.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pPr>
      <w:hyperlink w:anchor="ie0c00a7a1b3747cca0be3263a7bf0011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lot inventory decreased to 58,400 owned or controlled lots as of September 30, 2026 from 60,842 owned or controlled lots as of December 31, 2025, primarily related to our discipline in the evaluation and selective approval of new land deals and strategic lot sales in select markets. Owned lots are lots for which we have acquired ownership and hold title to the underlying real property. Controlled lots are lots that we do not own but for which we have a contractual right to acquire the underlying real property, generally through a land or lot option agreement, land banking arrangement, purchase and sale agreement, or other contractual arrangement. Together, owned and controlled lots represent lots available to us or that we have the contractual right to acquire for future homebuilding.</w:t>
      </w:r>
    </w:p>
    <w:p>
      <w:pPr>
        <w:pStyle w:val="TextBody"/>
        <w:bidi w:val="0"/>
        <w:spacing w:lineRule="auto" w:line="288" w:before="120" w:after="283"/>
        <w:ind w:left="0" w:right="0" w:firstLine="450"/>
        <w:jc w:val="both"/>
      </w:pPr>
      <w:r>
        <w:rPr>
          <w:rFonts w:ascii="Times New Roman;serif" w:hAnsi="Times New Roman;serif"/>
          <w:b w:val="false"/>
          <w:color w:val="000000"/>
          <w:sz w:val="20"/>
        </w:rPr>
        <w:t xml:space="preserve">We had land banking financing arrangements with a third-party land banker to repurchase land that we sold to the land banker as a method of acquiring finished lots in staged takedowns, while limiting risk and minimizing the use of funds from our available cash or other financing sources. In consideration for this repurchase option, we paid a non-refundable commitment fee. Based on our right to control the ultimate economic outcome of these finished lots, these assets continued to be held as real estate not owned within our inventory, and a corresponding obligation was established within our accrued liabilities, as discussed in </w:t>
      </w:r>
      <w:hyperlink w:anchor="ie0c00a7a1b3747cca0be3263a7bf0011_133">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“Accrued Expenses and Other Liabilities” to our condensed consolidated financial statements included in Part I, Item 1 of this Quarterly Report on Form 10-Q, to recognize this relationship. Although we were not legally obligated to repurchase the balance of the lots, we were subject to certain performance obligations, financial and other penalties if the lots were not purchased. We did not have any ownership interest or title to the assets that we had sold to the land banker and we did not guarantee any of the land banker’s liabilities. As of June 30, 2026, we had completed the repurchase of all lots via takedowns associated with these transactions.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 below shows (i) home closings by reportable segment for the nine months ended September 30, 2026 and (ii) our owned or controlled lots by reportable segment as of September 30, 2026.</w:t>
      </w:r>
    </w:p>
    <w:tbl>
      <w:tblPr>
        <w:tblW w:w="9851" w:type="dxa"/>
        <w:jc w:val="left"/>
        <w:tblInd w:w="0" w:type="dxa"/>
        <w:tblLayout w:type="fixed"/>
        <w:tblCellMar>
          <w:top w:w="28" w:type="dxa"/>
          <w:left w:w="28" w:type="dxa"/>
          <w:bottom w:w="28" w:type="dxa"/>
          <w:right w:w="28" w:type="dxa"/>
        </w:tblCellMar>
      </w:tblPr>
      <w:tblGrid>
        <w:gridCol w:w="663"/>
        <w:gridCol w:w="582"/>
        <w:gridCol w:w="585"/>
        <w:gridCol w:w="109"/>
        <w:gridCol w:w="109"/>
        <w:gridCol w:w="109"/>
        <w:gridCol w:w="1154"/>
        <w:gridCol w:w="1154"/>
        <w:gridCol w:w="1157"/>
        <w:gridCol w:w="109"/>
        <w:gridCol w:w="109"/>
        <w:gridCol w:w="109"/>
        <w:gridCol w:w="360"/>
        <w:gridCol w:w="361"/>
        <w:gridCol w:w="301"/>
        <w:gridCol w:w="147"/>
        <w:gridCol w:w="147"/>
        <w:gridCol w:w="147"/>
        <w:gridCol w:w="340"/>
        <w:gridCol w:w="340"/>
        <w:gridCol w:w="341"/>
        <w:gridCol w:w="147"/>
        <w:gridCol w:w="147"/>
        <w:gridCol w:w="147"/>
        <w:gridCol w:w="360"/>
        <w:gridCol w:w="361"/>
        <w:gridCol w:w="256"/>
      </w:tblGrid>
      <w:t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 2026</w:t>
            </w:r>
          </w:p>
        </w:tc>
      </w:tr>
      <w:t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Closings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20"/>
              </w:rPr>
              <w:t>Owned</w:t>
            </w:r>
            <w:r>
              <w:rPr>
                <w:color w:val="000000"/>
              </w:rPr>
              <w:t xml:space="preserve"> </w:t>
            </w:r>
            <w:r>
              <w:rPr>
                <w:rFonts w:ascii="Times New Roman;serif" w:hAnsi="Times New Roman;serif"/>
                <w:b/>
                <w:color w:val="000000"/>
                <w:sz w:val="12"/>
              </w:rPr>
              <w:t>(1)</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Controlled</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18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17,813 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3,435 </w:t>
            </w:r>
          </w:p>
        </w:tc>
        <w:tc>
          <w:tcPr>
            <w:tcW w:w="1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50,270 </w:t>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8,130 </w:t>
            </w:r>
          </w:p>
        </w:tc>
        <w:tc>
          <w:tcPr>
            <w:tcW w:w="3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58,400 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(1)Of the 50,270 owned lots as of September 30, 2026, 34,119 were raw/under development lots and 16,151 were finished lots.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Homes in Inventory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When entering a new community, we intend to build a sufficient number of move-in ready homes to meet our budgets. We base future home starts on home closings. As homes are closed, we start more homes to maintain our inventory. As of September 30, 2026, we had a total of 2,147 completed homes, including information centers, and 1,626 homes in progress.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Raw Materials and Labor</w:t>
      </w:r>
    </w:p>
    <w:p>
      <w:pPr>
        <w:pStyle w:val="TextBody"/>
        <w:bidi w:val="0"/>
        <w:spacing w:lineRule="auto" w:line="288" w:before="120" w:after="283"/>
        <w:ind w:left="0" w:right="0" w:firstLine="450"/>
        <w:jc w:val="both"/>
      </w:pPr>
      <w:r>
        <w:rPr>
          <w:rFonts w:ascii="Times New Roman;serif" w:hAnsi="Times New Roman;serif"/>
          <w:b w:val="false"/>
          <w:color w:val="000000"/>
          <w:sz w:val="20"/>
        </w:rPr>
        <w:t xml:space="preserve">When constructing homes, we use various materials and components. We generally contract for our materials and labor at a fixed price for the anticipated construction period of our homes. This allows us to mitigate the risks associated with increases in building materials and labor costs between the time construction begins on a home and the time it is closed. Typically, the raw materials and most of the components used in our business are readily available in the United States. We purchase some components and materials centrally to achieve volume discounts, a practice that often reduces costs and ensures timely deliveries. We typically do not store significant inventories of construction materials, except for work in progress materials for homes under construction. In addition, the majority of our raw materials are supplied to us by our subcontractors and are included in the price of our contract with such subcontractors. Most of the raw materials necessary for our subcontractors are standard items carried by major suppliers. Our construction work is substantially completed by third-party subcontractors, most of whom are non-unionized. We continue to monitor the supply markets to achieve the best prices available. Typically, the price changes that most significantly influence our operations are price increases in labor, commodities and lumber. </w:t>
      </w:r>
      <w:r>
        <w:rPr>
          <w:rFonts w:ascii="Times New Roman;serif" w:hAnsi="Times New Roman;serif"/>
          <w:b w:val="false"/>
          <w:color w:val="000000"/>
          <w:sz w:val="20"/>
          <w:shd w:fill="FFFFFF" w:val="clear"/>
        </w:rPr>
        <w:t>In future quarters, we could see various cost pressures associated with inflation similar to the cost pressures experienced in the last few years. Generally, we have successfully increased the sales prices of our homes to absorb these increased costs or have successfully made cost-effective changes as we endeavor to keep our homes affordable.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pPr>
      <w:hyperlink w:anchor="ie0c00a7a1b3747cca0be3263a7bf0011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all of our reportable segments, we have historically experienced similar variability in our results of operations and in capital requirements from quarter to quarter due to the seasonal nature of the homebuilding industry. We generally close more homes in our second, third and fourth quarters. Thus, our revenues may fluctuate on a quarterly basis and we may have higher capital requirements in our second, third and fourth quarters in order to maintain our inventory levels. Our revenues and capital requirements are generally similar across our second, third and fourth quarters.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result of seasonal activity, our quarterly results of operations and financial position at the end of a particular quarter, especially the first quarter, are not necessarily representative of the results we expect at year end. We expect this seasonal pattern to continue in the long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Overview</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2026, we had $69.4 million of cash and cash equivalents. Cash flows for each of our active communities depend on the status of the development cycle and can differ substantially from reported earnings.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principal uses of capital are operating expenses, land and lot purchases, lot development, home construction, interest costs on our indebtedness and the payment of various liabilities. In addition, we may purchase land, lots, homes under construction or other assets as part of an acquisition and repurchase shares of our common stock. Early stages of development or expansion require significant cash outlays for land acquisitions, land development, plats, vertical development, construction of information centers, general landscaping, and other amenities. Because these costs are a component of our inventory and are not recognized in our statement of operations until a home closes, we incur significant cash outflows prior to recognition of homebuilding revenues. In the later stages of an active community, cash inflows may exceed homebuilding revenues reported for financial statement purposes, as the costs associated with home and land construction were previously incurred.</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Net Debt to Capital Ratio</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2026, our net debt to capital ratio was 40.6%. We use this ratio as a supplemental measure of financial leverage and capital efficiency. This ratio is calculated as net debt (which is total debt minus cash and cash equivalents) divided by net debt plus total equity. Our net debt to capital ratio reflects our balanced approach to financing growth while maintaining liquidity. We continue to monitor leverage levels in light of evolving market conditions, with a focus on capital efficiency. At September 30, 2026, we were in compliance with all of the covenants contained in the 2025 Credit Agreement, including minimum tangible net worth, maximum leverage ratio, minimum liquidity amount, and minimum EBITDA to interest expense ratio, and with all of the covenants contained in the LGI Living Loan Agreement (as defined herein). As of September 30, 2026, $378.3 million was available to borrow under the 2025 Credit Agreement, providing ample liquidity to support operations and growth initiatives.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Short-term Liquidity and Capital Resources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generally rely on our ability to finance our operations by generating operating cash flows and borrowing under the Credit Agreement to adequately fund our short-term working capital obligations and to purchase land and other assets, develop lots and homes and repurchase shares of our common stock. As needed, we will consider accessing the debt and equity capital markets as part of our ongoing financing strategy. We rely on our ability to obtain performance, payment and completion surety bonds as well as letters of credit to finance our projects. Furthermore, we utilize, on a limited and strategic basis, land banking financing arrangements to access short-term liquidity.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the date of this Quarterly Report on Form 10-Q, we believe that we will be able to fund our current and foreseeable liquidity needs for at least the next twelve months with our cash on hand, cash generated from operations and cash expected to be available from the Credit Agreement or through accessing debt or equity capital, as needed. However, our ability to engage in the transactions described above may be constrained by volatile or tight economic, capital, credit and financial market conditions, as well as moderated investor or lender interest or capacity and our liquidity, leverage and net worth, and we can provide no assurance as to successfully completing, the costs of, or the operational limitations arising from any one or series of such transactions.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Long-term Liquidity and Capital Resources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long-term principal uses of liquidity and capital resources will be inventory related purchases concerning land, lot development, repurchases of shares of our common stock, other capital expenditures, and principal and interest payments on our debt obligations maturing between 2028 and 2032. We believe that we will be able to fund our long-term liquidity needs with cash generated from operations and cash expected to be available to borrow under the Credit Agreement or through accessing debt or equity capital, as needed, although no assurance can be provided that such additional debt or equity capital will be available when needed or on terms that we find attractive. Additionally, we may further utilize, on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pPr>
      <w:hyperlink w:anchor="ie0c00a7a1b3747cca0be3263a7bf0011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limited and strategic basis, land banking financing arrangements to maximize long-term liquidity for lot development projects where we have sufficient finished lot availability in certain markets. To the extent these sources of capital are insufficient to meet our needs, we may also conduct additional public or private offerings of our securities, refinance our indebtedness, or dispose of certain assets to fund our operating activities and capital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Revolving Credit Facility </w:t>
      </w:r>
    </w:p>
    <w:p>
      <w:pPr>
        <w:pStyle w:val="TextBody"/>
        <w:bidi w:val="0"/>
        <w:spacing w:lineRule="auto" w:line="26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October 9, 2026, we entered into a Seventh Amendment to Fifth Amended and Restated Credit Agreement with several financial institutions and Wells Fargo Bank, National Association, as administrative agent (the “Seventh Amendment”), which amended the 2025 Credit Agreement (as so amended by the Seventh Amendment, the “Credit Agreement”). The Credit Agreement provides for a $1.166 billion revolving credit facility, which can be increased at the request of the Company by up to $175.0 million, subject to the terms and conditions of the Credit Agreement. The Credit Agreement matures on October 9, 2030 with respect to $855.0 million, or 73.3%, of the approximately $1.166 billion of the commitments thereunder, on April 28, 2029 with respect to 18.4% of the commitments thereunder and on April 28, 2028 with respect to 8.3% of the commitments thereunder.</w:t>
      </w:r>
    </w:p>
    <w:p>
      <w:pPr>
        <w:pStyle w:val="TextBody"/>
        <w:bidi w:val="0"/>
        <w:spacing w:lineRule="auto" w:line="26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Before each anniversary of the Credit Agreement, we may request a one-year extension of its maturity date. The Credit Agreement is guaranteed by, among others, each of our subsidiaries that have gross assets of at least $0.5 million, other than subsidiaries whose sole purpose is to own and operate single-family rental homes.</w:t>
      </w:r>
    </w:p>
    <w:p>
      <w:pPr>
        <w:pStyle w:val="TextBody"/>
        <w:bidi w:val="0"/>
        <w:spacing w:lineRule="auto" w:line="26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borrowings and letters of credit outstanding under the Credit Agreement, together with the outstanding principal balance of our 8.750% Senior Notes due 2028 (the “2028 Senior Notes”), our 4.000% Senior Notes due 2029 (the “2029 Senior Notes”) and our 7.000% Senior Notes due 2032 (the “2032 Senior Notes”), may not exceed the borrowing base under the Credit Agreement. The borrowing base primarily consists of a percentage of commercial land, land held for development, lots under development and finished lots held by the Company and its subsidiaries that guarantee the obligations under the Credit Agreement. As of September 30, 2026, the borrowing base under the 2025 Credit Agreement was $1.9 billion, of which the maximum available to borrow was $1.9 billion. As of September 30, 2026, borrowings under the 2025 Credit Agreement and the outstanding principal amount of the 2028 Senior Notes, the 2029 Senior Notes and the 2032 Senior Notes totaled approximately $1.5 billion, $23.7 million of letters of credit were outstanding and $378.3 million was available to borrow under the 2025 Credit Agreement.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Borrowings under the Credit Agreement bear interest, payable monthly in arrears, at the Company’s option, at either (1) the Adjusted Term SOFR (defined as a term SOFR that is based on a fixed 1, 3 or 6 month interest period, as selected by the Company, plus a 10, 15 or 25 basis point adjustment, respectively), which rate is subject to a 50 basis point floor, plus an applicable margin ranging from 145 basis points to 210 basis points (the “Applicable Margin”) based on the Company’s leverage ratio as determined in accordance with a pricing grid, or (2) the Base Rate (defined as a term SOFR that is based on a daily variable 1 month interest period plus a 10 basis point adjustment), subject to a 50 basis point floor, plus the Applicable Margin. At September 30, 2026, the Applicable Margin was 1.75% (1.85% including the 0.10% credit spread adjustment), and SOFR was 3.90%, subject to the 0.50% SOFR floor as included in the 2025 Credit Agreement.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various financial covenants, including a minimum tangible net worth, a maximum leverage ratio and a minimum EBITDA to interest expense ratio. The Credit Agreement contains various covenants that, among other restrictions, (i) limit the amount of our additional debt and our ability to make certain investments and (ii) restrict the repurchase of shares and payment of dividends through December 31, 2026. At September 30, 2026, we were in compliance with all of the covenants contained in the 2025 Credit Agreement.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LGI Living Loan Agreement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July 23, 2025, the Company’s wholly owned special purpose subsidiary LGI Living - SFR 1, LLC (“LGI Living SFR”) entered into a Loan Agreement (the “LGI Living Loan Agreement”) with Evergreen Residential Capital, LLC, as lender. The LGI Living Loan Agreement provides for a secured non-recourse loan for up to $50.0 million, which can be increased at the request of LGI Living SFR by up to $75.0 million (for a total of $125.0 million), subject to the terms and conditions of the LGI Living Loan Agreement.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the total amount of borrowings outstanding under the LGI Living Loan Agreement was $50.0 million. The loan matures on July 8, 2030 and bears interest at a rate of 6.433% per annum, which may be adjusted in connection with an increase in the amount of the loan. The loan is unconditionally guaranteed as to payment and performance by the Company under a limited recourse guaranty with respect to (i) certain losses and liabilities to the extent such losses or liabilities are actually incurred by the lender and (ii) the entire amount of the loan upon the occurrence of certain events. The LGI Living Loan Agreement requires that the Company, as guarantor, maintain (i) liquidity of not less than 15% of the loan amount and (ii) net worth in excess of 50% of the loan amount.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loan is unconditionally guaranteed as to payment and performance by LGI Living - ER FIN, LLC, as the direct owner of the equity interests in LGI Living SFR, but recourse under such guaranty is limited to LGI Living - ER FIN, LLC’s equity interests in LGI Living SFR, which are pledged as collateral for the loan. The loan is also secured by a security interest in all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pPr>
      <w:hyperlink w:anchor="ie0c00a7a1b3747cca0be3263a7bf0011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assets of LGI Living SFR, including a mortgage lien on certain of LGI Living SFR’s real property. The LGI Living Loan Agreement includes certain restrictive covenants that may limit LGI Living SFR’s ability to, among other things, incur additional indebtedness or make certain investments. The LGI Living Loan Agreement contains representations and warranties, affirmative covenants, and events of default, all of which the Company believes are customary for special purpose subsidiary real estate secured loan agreements. If an event of default exists under the LGI Living Loan Agreement, the lender will be able to accelerate the maturity of the loan and exercise other rights and remedies. At September 30, 2026, we were in compliance with all of the covenants contained in the LGI Living Loan Agreement.</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Senior Notes Offering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November 15, 2024, we issued $400.0 million aggregate principal amount of the 2032 Senior Notes in an offering to persons reasonably believed to be qualified institutional buyers in the United States pursuant to Rule 144A (“Rule 144A”) under the Securities Act of 1933, as amended (the “Securities Act”), and to certain non-U.S. persons in transactions outside the United States pursuant to Regulation S (“Regulation S”) under the Securities Act. Interest on the 2032 Senior Notes accrues at a rate of 7.000% per annum, payable semi-annually in arrears on May 15 and November 15 of each year. The 2032 Senior Notes mature on November 15, 2032. The terms of the 2032 Senior Notes are governed by an Indenture, dated as of July 6, 2018, and Fifth Supplemental Indenture thereto, dated as of November 15, 2024, as may be supplemented from time to time, among us, our subsidiaries that guarantee our obligations under the Credit Agreement and Regions Bank, as trustee.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November 21, 2023, we issued $400.0 million aggregate principal amount of the 2028 Senior Notes in an offering to persons reasonably believed to be qualified institutional buyers in the United States pursuant to Rule 144A and to certain non-U.S. persons in transactions outside the United States pursuant to Regulation S. Interest on the 2028 Senior Notes accrues at a rate of 8.750% per annum, payable semi-annually in arrears on June 15 and December 15 of each year. The 2028 Senior Notes mature on December 15, 2028. The terms of the 2028 Senior Notes are governed by an Indenture, dated as of July 6, 2018, and Fourth Supplemental Indenture thereto, dated as of November 21, 2023, as may be supplemented from time to time, among us, our subsidiaries that guarantee our obligations under the Credit Agreement and Regions Bank, as trustee.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June 28, 2021, we issued $300.0 million aggregate principal amount of the 2029 Senior Notes in an offering to persons reasonably believed to be qualified institutional buyers in the United States pursuant to Rule 144A and to certain non-U.S. persons in transactions outside the United States pursuant to Regulation S. Interest on the 2029 Senior Notes accrues at a rate of 4.000% per annum, payable semi-annually in arrears on January 15 and July 15 of each year. The 2029 Senior Notes mature on July 15, 2029. The terms of the 2029 Senior Notes are governed by an Indenture, dated as of July 6, 2018, and Third Supplemental Indenture thereto, dated as of June 28, 2021, as may be supplemented from time to time, among us, our subsidiaries that guarantee our obligations under the Credit Agreement and Wilmington Trust, National Association, as trustee.</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Letters of Credit, Surety Bonds and Financial Guarantees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often required to provide letters of credit and surety bonds to secure our performance under construction contracts, development agreements and other arrangements. The amount of such obligations outstanding at any time varies in accordance with our pending development activities. In the event any such bonds or letters of credit are drawn upon, we would be obligated to reimburse the issuer of such bonds or letters of credit.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Under these letters of credit, surety bonds and financial guarantees, we are committed to perform certain development and construction activities and provide certain guarantees in the normal course of business. Outstanding letters of credit, surety bonds and financial guarantees under these arrangements totaled $416.8 million as of September 30, 2026. Although significant development and construction activities have been completed related to the improvements at these sites, the letters of credit and surety bonds are not generally released until all development and construction activities are completed. We do not believe that it is probable that any outstanding letters of credit, surety bonds or financial guarantees as of September 30, 2026 will be drawn upon.</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Stock Repurchase Program</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2022, our Board of Directors (the “Board”) approved a $200.0 million increase to our previously authorized stock repurchase program, pursuant to which we may purchase up to $550.0 million of shares of our common stock through open market transactions, privately negotiated transactions or otherwise in accordance with applicable laws. During the three and nine months ended September 30, 2026, we did not repurchase any shares of our common stock. During the three months ended September 30, 2025, we did not repurchase any shares of our common stock. During the nine months ended September 30, 2025, we repurchased 409,253 shares of our common stock at a total cost, including commissions and excise taxes, of $23.6 million, to be held as treasury stock. A total of 3,656,592 shares of our common stock has been repurchased since our stock repurchase program commenced in 2018. As of September 30, 2026, we may purchase up to $157.3 million of shares of our common stock under our stock repurchase program. The timing, amount and other terms and conditions of any repurchases of shares of our common stock under our stock repurchase program will be determined by our management at its discretion based on a variety of factors, including the market price of our common stock, corporate considerations, general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pPr>
      <w:hyperlink w:anchor="ie0c00a7a1b3747cca0be3263a7bf0011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market and economic conditions and legal requirements. Our stock repurchase program may be modified, discontinued or suspended at any time.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Cash Flows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$98.0 million during the nine months ended September 30, 2026. The primary drivers of operating cash flows are typically cash earnings and changes in inventory levels, including land acquisition and development. Net cash provided by operating activities during the nine months ended September 30, 2026 was primarily driven by the $51.2 million increase in accounts payable and the $19.1 million increase in the net change related to compensation expense for equity awards, pre-acquisition costs and deposits, inventory impairment, partially offset by cash outflow of $52.5 million in real estate inventory, which was primarily related to our homes under construction and land acquisitions and development level of activity.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$226.7 million during the nine months ended September 30, 2025. The primary drivers of operating cash flows are typically cash earnings and changes in inventory levels, including land acquisition and development. Net cash used in operating activities during the nine months ended September 30, 2025 was primarily driven by cash outflow from the $318.1 million increase in the net change in real estate inventory, which was primarily related to our homes under construction and land acquisitions and development level of activity and a $12.8 million decrease in the net change in accrued expenses and other liabilities, and $16.5 million increase in the net change in other assets, partially offset by the $22.9 million increase in the net change related to pre-acquisition costs and deposits, accounts receivable, and compensation expense for equity awards.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$31.8 million during the nine months ended September 30, 2026, primarily due to $37.0 million in proceeds from the sale of property and equipment, partially offset by an additional $3.4 million investment in unconsolidated entities.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$14.3 million during the nine months ended September 30, 2025, primarily due to $10.2 million in proceeds from the sale of property and equipment and $8.6 million in return of capital, partially offset by an additional $3.6 million investment in unconsolidated entities.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was $121.6 million during the nine months ended September 30, 2026, primarily driven by $352.0 million of repayments on the 2025 Credit Agreement and payments of $8.1 million related to a financing arrangement with a third-party land banker, offset by $235.5 million of borrowings under the 2025 Credit Agreement.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$221.2 million during the nine months ended September 30, 2025, primarily driven by $594.6 million of borrowings under our credit agreement then in effect, offset by $323.0 million of repayments on our credit agreement then in effect and payments of $24.2 million related to a financing arrangement with a third-party land banker. In addition, during the nine months ended September 30, 2025, we repurchased $23.6 million of shares of our common stock under our stock repurchase program to be held as treasury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Inflation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business can be adversely impacted by inflation, primarily from higher land, financing, labor, material and construction costs. In addition, inflation can lead to higher mortgage rates, which can significantly affect the affordability of mortgage financing to homebuyers. See “Industry and Economic Risks—Inflation could adversely affect our business and financial results” in Item 1A. Risk Factors in Part I of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Material Cash Requirements</w:t>
      </w:r>
    </w:p>
    <w:p>
      <w:pPr>
        <w:pStyle w:val="TextBody"/>
        <w:bidi w:val="0"/>
        <w:spacing w:lineRule="auto" w:line="288" w:before="120" w:after="283"/>
        <w:ind w:left="0" w:right="0" w:firstLine="450"/>
        <w:jc w:val="both"/>
      </w:pPr>
      <w:r>
        <w:rPr>
          <w:rFonts w:ascii="Times New Roman;serif" w:hAnsi="Times New Roman;serif"/>
          <w:b w:val="false"/>
          <w:color w:val="000000"/>
          <w:sz w:val="20"/>
        </w:rPr>
        <w:t xml:space="preserve">As of September 30, 2026, there have been no material changes to our known contractual and other obligations appearing in the “Material Cash Requirements” section of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 xml:space="preserve">included in our </w:t>
      </w:r>
      <w:hyperlink r:id="rId2">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pPr>
      <w:hyperlink w:anchor="ie0c00a7a1b3747cca0be3263a7bf0011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management to make estimates and assumptions that affect the reported amounts of assets and liabilities and the disclosure of contingent assets and liabilities at the date of the condensed consolidated financial statements and the reported amounts of revenue and expenses during the reporting period. Management bases its estimates and judgments on historical experience and on various other factors that are believed to be reasonable under the circumstances, the results of which form the basis for making judgments about the carrying value of assets and liabilities that are not readily apparent from other sources. On an ongoing basis, management evaluates such estimates and judgments and makes adjustments as deemed necessary. Actual results could differ from these estimates using different estimates and assumptions, or if conditions are significantly different in the future. </w:t>
      </w:r>
    </w:p>
    <w:p>
      <w:pPr>
        <w:pStyle w:val="TextBody"/>
        <w:bidi w:val="0"/>
        <w:spacing w:lineRule="auto" w:line="288" w:before="120" w:after="283"/>
        <w:ind w:left="0" w:right="0" w:firstLine="450"/>
        <w:jc w:val="both"/>
      </w:pPr>
      <w:r>
        <w:rPr>
          <w:rFonts w:ascii="Times New Roman;serif" w:hAnsi="Times New Roman;serif"/>
          <w:b w:val="false"/>
          <w:color w:val="000000"/>
          <w:sz w:val="20"/>
        </w:rPr>
        <w:t xml:space="preserve">We believe that there have been no significant changes to our critical accounting policies and estimates during the nine months ended September 30, 2026 as compared to those disclosed in </w:t>
      </w:r>
      <w:r>
        <w:rPr>
          <w:rFonts w:ascii="Times New Roman;serif" w:hAnsi="Times New Roman;serif"/>
          <w:b w:val="false"/>
          <w:i/>
          <w:color w:val="000000"/>
          <w:sz w:val="20"/>
        </w:rPr>
        <w:t>Management</w:t>
      </w:r>
      <w:r>
        <w:rPr>
          <w:color w:val="0000FF"/>
        </w:rPr>
        <w:t>’</w:t>
      </w:r>
      <w:r>
        <w:rPr>
          <w:rFonts w:ascii="Times New Roman;serif" w:hAnsi="Times New Roman;serif"/>
          <w:b w:val="false"/>
          <w:i/>
          <w:color w:val="000000"/>
          <w:sz w:val="20"/>
        </w:rPr>
        <w:t>s Discussion and Analysis of Financial Condition and Results of Operations</w:t>
      </w:r>
      <w:r>
        <w:rPr>
          <w:color w:val="000000"/>
        </w:rPr>
        <w:t xml:space="preserve"> </w:t>
      </w:r>
      <w:r>
        <w:rPr>
          <w:rFonts w:ascii="Times New Roman;serif" w:hAnsi="Times New Roman;serif"/>
          <w:b w:val="false"/>
          <w:color w:val="000000"/>
          <w:sz w:val="20"/>
        </w:rPr>
        <w:t>included in our Annual Report on Form 10-K for the fiscal year ended December 31, 2025.</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Cautionary Statement about Forward-Looking Statements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“continue,” “could,” “estimate,” “expect,” “forecast,” “goal,” “intend,” “may,” “objective,” “plan,” “potential,” “predict,” “projection,” “should,” “will” or other similar words.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based our forward-looking statements on our management’s beliefs and assumptions based on information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are some of the factors that could cause actual results to differ materially from those expressed or implied in forward-looking statements: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adverse economic changes either nationally or in the markets in which we operate, including, among other things, potential impacts from political uncertainty, civil unrest, increases in unemployment, volatility of mortgage interest rates, supply chain disruptions (including due to the conflict between Russia and Ukraine and the wide-ranging sanctions the United States and other countries have imposed or may further impose on Russian business sectors, financial organizations, individuals and raw materials and the conflict in the Middle East), inflation, the possibility of recession and decreases in housing prices;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a slowdown in the homebuilding industry or changes in population growth rates in our markets;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volatility and uncertainty in the credit markets and broader financial markets;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elevated mortgage interest rates for prolonged periods, disruption in the terms or availability of mortgage financing or increase in the number of foreclosures in our markets;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disruptions in global trade, including as a result of tariffs, trade restrictions, retaliatory trade measures or the effect of such actions on trading relationships between the United States and other countries;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the cyclical and seasonal nature of our business;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our future operating results and financial condition;</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our business operations;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changes in our business and investment strategy;</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the success of our operations in recently opened new markets and our ability to expand into additional new markets;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our ability to successfully extend our business model to building homes with higher price points, developing larger communities and producing and selling multi-unit products, town houses, wholesale products, and acreage home sites;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our ability to develop our projects successfully or within expected timeframes;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our ability to identify potential acquisition targets, close such acquisitions and realize the benefits of such acquisitions;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increases in taxes or government fees;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decline in the market value of our land portfolio;</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our ability to successfully integrate any acquisitions with our existing operations;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availability of land to acquire and our ability to acquire such land on favorable terms or at all;</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pPr>
      <w:hyperlink w:anchor="ie0c00a7a1b3747cca0be3263a7bf0011_7">
        <w:r>
          <w:rPr>
            <w:rStyle w:val="InternetLink"/>
            <w:rFonts w:ascii="Times New Roman;serif" w:hAnsi="Times New Roman;serif"/>
            <w:b/>
            <w:color w:val="0000FF"/>
            <w:sz w:val="20"/>
            <w:u w:val="single"/>
          </w:rPr>
          <w:t>Table of Contents</w:t>
        </w:r>
      </w:hyperlink>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availability, terms and deployment of capital and ability to meet our ongoing liquidity needs;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decisions of the Credit Agreement lender group;</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the cost and availability of insurance and surety bonds;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shortages of or increased prices for labor, land, or raw materials used in land development and housing construction, including due to tariffs or trade restrictions imposed by the U.S. government, and any effect on trading relationships between the United States and other countries;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delays in land development or home construction resulting from natural disasters, adverse weather conditions or other events outside our control;</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uninsured losses in excess of insurance limits;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our leverage and future debt service obligations;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changes in, liabilities under, or the failure or inability to comply with, governmental laws and regulations, including environmental, privacy and security laws and regulations;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the timing of receipt of regulatory approvals and the opening of projects;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the degree and nature of our competition;</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information system failures, cyber incidents or breaches in security;</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our ability to retain our key personnel;</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the impact of an epidemic or pandemic and its effect on us, our business, customers, subcontractors and suppliers (including associated supply chain disruptions);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negative publicity or poor relations with the residents of our projects;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existing and future litigation, arbitration or other claims;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availability of qualified personnel and third-party contractors and subcontractors;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the impact on our business of any future U.S. government shutdown;</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other risks and uncertainties inherent in our business;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other factors we discuss under the section entitled “</w:t>
      </w:r>
      <w:hyperlink w:anchor="ie0c00a7a1b3747cca0be3263a7bf0011_253">
        <w:r>
          <w:rPr>
            <w:rStyle w:val="InternetLink"/>
            <w:rFonts w:ascii="Times New Roman;serif" w:hAnsi="Times New Roman;serif"/>
            <w:b w:val="false"/>
            <w:i/>
            <w:color w:val="0000FF"/>
            <w:sz w:val="20"/>
            <w:u w:val="single"/>
          </w:rPr>
          <w:t>Management’s Discussion and Analysis of Financial Condition and Results of Operations</w:t>
        </w:r>
      </w:hyperlink>
      <w:r>
        <w:rPr>
          <w:color w:val="000000"/>
        </w:rPr>
        <w:t>”</w:t>
      </w:r>
      <w:r>
        <w:rPr>
          <w:rFonts w:ascii="Times New Roman;serif" w:hAnsi="Times New Roman;serif"/>
          <w:b w:val="false"/>
          <w:color w:val="000000"/>
          <w:sz w:val="20"/>
        </w:rPr>
        <w:t>; and</w:t>
      </w:r>
    </w:p>
    <w:p>
      <w:pPr>
        <w:pStyle w:val="TextBody"/>
        <w:bidi w:val="0"/>
        <w:spacing w:lineRule="auto" w:line="288" w:before="60" w:after="60"/>
        <w:ind w:left="0" w:right="0" w:hanging="360"/>
        <w:jc w:val="both"/>
      </w:pPr>
      <w:r>
        <w:rPr>
          <w:color w:val="000000"/>
        </w:rPr>
        <w:t>•</w:t>
      </w:r>
      <w:r>
        <w:rPr>
          <w:rFonts w:ascii="Times New Roman;serif" w:hAnsi="Times New Roman;serif"/>
          <w:b w:val="false"/>
          <w:color w:val="000000"/>
          <w:sz w:val="20"/>
        </w:rPr>
        <w:t xml:space="preserve">the risk factors set forth in our </w:t>
      </w:r>
      <w:hyperlink r:id="rId3">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fiscal year ended December 31, 2025.</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You should not place undue reliance on forward-looking statements. Each forward-looking statement speaks only as of the date of the particular statement. We expressly disclaim any intent, obligation or undertaking to update or revise any forward-looking statements to reflect any change in our expectations with regard thereto or any change in events, conditions or circumstances on which any such statements are based, except as required by law. All subsequent written and oral forward-looking statements attributable to us or persons acting on our behalf are expressly qualified in their entirety by the cautionary statements contained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operations are interest rate sensitive. As overall housing demand is adversely affected by increases in interest rates, a significant increase in mortgage interest rates may negatively affect the ability of homebuyers to secure adequate financing. Higher interest rates could adversely affect our revenues, homebuilding gross margin and net income.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Quantitative and Qualitative Disclosures About Interest Rate Risk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utilize both fixed-rate debt and variable-rate debt as part of financing our operations. We do not have the obligation to prepay our senior notes or our fixed-rate inventory related obligations prior to maturity, and, as a result, interest rate risk and changes in fair market value should not have a significant impact on our fixed-rate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pPr>
      <w:r>
        <w:rPr>
          <w:rFonts w:ascii="Times New Roman;serif" w:hAnsi="Times New Roman;serif"/>
          <w:b w:val="false"/>
          <w:color w:val="000000"/>
          <w:sz w:val="20"/>
        </w:rPr>
        <w:t>We currently do not hold derivatives for trading or speculative purposes, but we may do so in the future. Many of the statements contained in this section are forward looking and should be read in conjunction with our disclosures under the heading “</w:t>
      </w:r>
      <w:hyperlink w:anchor="ie0c00a7a1b3747cca0be3263a7bf0011_337">
        <w:r>
          <w:rPr>
            <w:rStyle w:val="InternetLink"/>
            <w:rFonts w:ascii="Times New Roman;serif" w:hAnsi="Times New Roman;serif"/>
            <w:b w:val="false"/>
            <w:color w:val="0000FF"/>
            <w:sz w:val="20"/>
            <w:u w:val="single"/>
          </w:rPr>
          <w:t>Cautionary Statement about Forward-Looking Statements</w:t>
        </w:r>
      </w:hyperlink>
      <w:r>
        <w:rPr>
          <w:color w:val="000000"/>
        </w:rPr>
        <w:t xml:space="preserve">” </w:t>
      </w:r>
      <w:r>
        <w:rPr>
          <w:rFonts w:ascii="Times New Roman;serif" w:hAnsi="Times New Roman;serif"/>
          <w:b w:val="false"/>
          <w:color w:val="000000"/>
          <w:sz w:val="20"/>
        </w:rPr>
        <w:t>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risks related to fluctuations in interest rates on our outstanding variable rate indebtedness. As of September 30, 2026, we had $411.2 million of variable rate indebtedness outstanding under the 2025 Credit Agreement. All of the outstanding borrowings under the Credit Agreement are (and, as of September 30, 2026, all of the outstanding borrowings under the 2025 Credit Agreement were) at variable rates based on SOFR. The interest rate for our variable rate indebtedness as of September 30, 2026 was SOFR plus 1.75% (1.85% including the 0.10% credit spread adjustment). At September 30, 2026, SOFR was 3.90%, subject to the 0.50% SOFR floor as included in the 2025 Credit Agreement. A hypothetical 100 basis point increase or decrease in the SOFR would increase or decrease our annual interest cost by approximately $4.1 million.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pPr>
      <w:hyperlink w:anchor="ie0c00a7a1b3747cca0be3263a7bf0011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Based on the current interest rate management policies we have in place with respect to our outstanding indebtedness, we do not believe that the future interest rate risks related to our existing indebtedness will have a material adverse impact on our financial position, results of operations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September 30, 2026. Based upon that evaluation, our Chief Executive Officer and Chief Financial Officer concluded that our disclosure controls and procedures are effective to ensure information is recorded, processed, summarized and reported within the periods specified in the Securities and Exchange Commission’s rules and forms and is accumulated and communicated to our management, including our Chief Executive Officer and Chief Financial Officer, as appropriate to allow timely decisions regarding required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management’s override of controls.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Changes in Internal Controls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 change in our internal control over financial reporting as such term is defined in Exchange Act Rule 13a-15(f) occurred during the three months ended September 30,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ordinary course of doing business, we are subject to claims or proceedings from time to time relating to the purchase, development, and sale of real estate and homes and other aspects of our homebuilding operations. Management believes that these claims include usual obligations incurred by real estate developers and residential homebuilders in the normal course of business. In the opinion of management, these matters will not have a material effect on our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the risk factors we previously disclosed in our Annual Report on Form 10-K for the fiscal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ITEM 5.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Rule 10b5-1 Trading Arrangements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August 18, 2026, Michael Snider, President and Chief Operating Officer of the Company, adopted a “Rule 10b5-1 trading arrangement,” as defined in Item 408(a) of Regulation S-K, that is intended to satisfy the affirmative defense of Rule 10b5-1(c) under the Exchange Act. Subject to meeting the stock price conditions set forth therein and pursuant to the terms thereof, Mr. Snider’s Rule 10b5-1 trading arrangement provides for the sale, between November 24, 2026 and November 23, 2027, of a maximum number of shares of the Company’s common stock that would generate proceeds of up to $2.0 million. Mr. Snider’s Rule 10b5-1 trading arrangement will be in effect until the earlier of (i) November 23, 2027 and (ii) the completion of all sales contemplated thereunder.</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pPr>
      <w:hyperlink w:anchor="ie0c00a7a1b3747cca0be3263a7bf0011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Except as set forth above, during the three months ended September 30, 2026, no director or officer (as defined in Rule 16a-1(f) under the Exchange Act)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9"/>
        <w:gridCol w:w="263"/>
        <w:gridCol w:w="264"/>
        <w:gridCol w:w="109"/>
        <w:gridCol w:w="109"/>
        <w:gridCol w:w="109"/>
        <w:gridCol w:w="2697"/>
        <w:gridCol w:w="2628"/>
        <w:gridCol w:w="3727"/>
      </w:tblGrid>
      <w:t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3727" w:type="dxa"/>
            <w:tcBorders/>
            <w:vAlign w:val="center"/>
          </w:tcPr>
          <w:p>
            <w:pPr>
              <w:pStyle w:val="TableContents"/>
              <w:bidi w:val="0"/>
              <w:spacing w:before="0" w:after="283"/>
              <w:jc w:val="left"/>
              <w:rPr>
                <w:sz w:val="4"/>
                <w:szCs w:val="4"/>
              </w:rPr>
            </w:pPr>
            <w:r>
              <w:rPr>
                <w:sz w:val="4"/>
                <w:szCs w:val="4"/>
              </w:rPr>
            </w:r>
          </w:p>
        </w:tc>
      </w:tr>
      <w:t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pPr>
            <w:r>
              <w:rPr>
                <w:color w:val="000000"/>
              </w:rPr>
              <w:t>  </w:t>
            </w:r>
            <w:r>
              <w:rPr>
                <w:rFonts w:ascii="Times New Roman;serif" w:hAnsi="Times New Roman;serif"/>
                <w:b/>
                <w:color w:val="000000"/>
                <w:sz w:val="20"/>
                <w:u w:val="single"/>
              </w:rPr>
              <w:t>Description  </w:t>
            </w:r>
          </w:p>
        </w:tc>
      </w:tr>
      <w:t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both"/>
            </w:pPr>
            <w:hyperlink r:id="rId4">
              <w:r>
                <w:rPr>
                  <w:rStyle w:val="InternetLink"/>
                  <w:rFonts w:ascii="Times New Roman;serif" w:hAnsi="Times New Roman;serif"/>
                  <w:b w:val="false"/>
                  <w:color w:val="0000FF"/>
                  <w:sz w:val="20"/>
                  <w:u w:val="single"/>
                </w:rPr>
                <w:t>Certificate of Incorporation of LGI Homes, Inc. (incorporated by reference to Exhibit 3.1 to the Registration Statement on Form S-1 (File No. 333-190853) of LGI Homes, Inc. filed with the SEC on August 28, 2013).</w:t>
              </w:r>
            </w:hyperlink>
          </w:p>
        </w:tc>
      </w:tr>
      <w:t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pPr>
            <w:hyperlink r:id="rId5">
              <w:r>
                <w:rPr>
                  <w:rStyle w:val="InternetLink"/>
                  <w:rFonts w:ascii="Times New Roman;serif" w:hAnsi="Times New Roman;serif"/>
                  <w:b w:val="false"/>
                  <w:color w:val="0000FF"/>
                  <w:sz w:val="20"/>
                  <w:u w:val="single"/>
                </w:rPr>
                <w:t>Certificate of Amendment of Certificate of Incorporation of LGI Homes, Inc. (incorporated by reference to Exhibit 3.1 to the Current Report on Form 8-K (File No. 001-36126) of LGI Homes, Inc. filed with the SEC on May 1, 2023).</w:t>
              </w:r>
            </w:hyperlink>
          </w:p>
        </w:tc>
      </w:tr>
      <w:t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both"/>
            </w:pPr>
            <w:hyperlink r:id="rId6">
              <w:r>
                <w:rPr>
                  <w:rStyle w:val="InternetLink"/>
                  <w:rFonts w:ascii="Times New Roman;serif" w:hAnsi="Times New Roman;serif"/>
                  <w:b w:val="false"/>
                  <w:color w:val="0000FF"/>
                  <w:sz w:val="20"/>
                  <w:u w:val="single"/>
                </w:rPr>
                <w:t>Bylaws of LGI Homes, Inc. (incorporated by reference to Exhibit 3.2 to the Registration Statement on Form S-1 (File No. 333-190853) of LGI Homes, Inc. filed with the SEC on August 28, 2013).</w:t>
              </w:r>
            </w:hyperlink>
          </w:p>
        </w:tc>
      </w:tr>
      <w:t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pPr>
            <w:hyperlink r:id="rId7">
              <w:r>
                <w:rPr>
                  <w:rStyle w:val="InternetLink"/>
                  <w:rFonts w:ascii="Times New Roman;serif" w:hAnsi="Times New Roman;serif"/>
                  <w:b w:val="false"/>
                  <w:color w:val="000080"/>
                  <w:sz w:val="20"/>
                  <w:u w:val="single"/>
                </w:rPr>
                <w:t>Seventh</w:t>
              </w:r>
            </w:hyperlink>
            <w:hyperlink r:id="rId8">
              <w:r>
                <w:rPr>
                  <w:rStyle w:val="InternetLink"/>
                  <w:rFonts w:ascii="Times New Roman;serif" w:hAnsi="Times New Roman;serif"/>
                  <w:b w:val="false"/>
                  <w:color w:val="000080"/>
                  <w:sz w:val="20"/>
                  <w:u w:val="single"/>
                </w:rPr>
                <w:t xml:space="preserve"> </w:t>
              </w:r>
            </w:hyperlink>
            <w:hyperlink r:id="rId9">
              <w:r>
                <w:rPr>
                  <w:rStyle w:val="InternetLink"/>
                  <w:rFonts w:ascii="Times New Roman;serif" w:hAnsi="Times New Roman;serif"/>
                  <w:b w:val="false"/>
                  <w:color w:val="000080"/>
                  <w:sz w:val="20"/>
                  <w:u w:val="single"/>
                </w:rPr>
                <w:t>Amendment to Fifth Amended and Restated Credit Agreement, dated as of October 9, 2026,</w:t>
              </w:r>
            </w:hyperlink>
            <w:hyperlink r:id="rId10">
              <w:r>
                <w:rPr>
                  <w:rStyle w:val="InternetLink"/>
                  <w:rFonts w:ascii="Times New Roman;serif" w:hAnsi="Times New Roman;serif"/>
                  <w:b w:val="false"/>
                  <w:color w:val="000080"/>
                  <w:sz w:val="20"/>
                  <w:u w:val="single"/>
                </w:rPr>
                <w:t xml:space="preserve"> </w:t>
              </w:r>
            </w:hyperlink>
            <w:hyperlink r:id="rId11">
              <w:r>
                <w:rPr>
                  <w:rStyle w:val="InternetLink"/>
                  <w:rFonts w:ascii="Times New Roman;serif" w:hAnsi="Times New Roman;serif"/>
                  <w:b w:val="false"/>
                  <w:color w:val="000080"/>
                  <w:sz w:val="20"/>
                  <w:u w:val="single"/>
                </w:rPr>
                <w:t>by and among LGI Homes, Inc., each of the financial institutions initially a signatory thereto,</w:t>
              </w:r>
            </w:hyperlink>
            <w:hyperlink r:id="rId12">
              <w:r>
                <w:rPr>
                  <w:rStyle w:val="InternetLink"/>
                  <w:rFonts w:ascii="Times New Roman;serif" w:hAnsi="Times New Roman;serif"/>
                  <w:b w:val="false"/>
                  <w:color w:val="000080"/>
                  <w:sz w:val="20"/>
                  <w:u w:val="single"/>
                </w:rPr>
                <w:t xml:space="preserve"> </w:t>
              </w:r>
            </w:hyperlink>
            <w:hyperlink r:id="rId13">
              <w:r>
                <w:rPr>
                  <w:rStyle w:val="InternetLink"/>
                  <w:rFonts w:ascii="Times New Roman;serif" w:hAnsi="Times New Roman;serif"/>
                  <w:b w:val="false"/>
                  <w:color w:val="000080"/>
                  <w:sz w:val="20"/>
                  <w:u w:val="single"/>
                </w:rPr>
                <w:t>and Wells Fargo Bank, National Association, as administrative agent (incorporated by</w:t>
              </w:r>
            </w:hyperlink>
            <w:hyperlink r:id="rId14">
              <w:r>
                <w:rPr>
                  <w:rStyle w:val="InternetLink"/>
                  <w:rFonts w:ascii="Times New Roman;serif" w:hAnsi="Times New Roman;serif"/>
                  <w:b w:val="false"/>
                  <w:color w:val="000080"/>
                  <w:sz w:val="20"/>
                  <w:u w:val="single"/>
                </w:rPr>
                <w:t xml:space="preserve"> </w:t>
              </w:r>
            </w:hyperlink>
            <w:hyperlink r:id="rId15">
              <w:r>
                <w:rPr>
                  <w:rStyle w:val="InternetLink"/>
                  <w:rFonts w:ascii="Times New Roman;serif" w:hAnsi="Times New Roman;serif"/>
                  <w:b w:val="false"/>
                  <w:color w:val="000080"/>
                  <w:sz w:val="20"/>
                  <w:u w:val="single"/>
                </w:rPr>
                <w:t>reference to Exhibit 10.1 to the Current Report on Form 8-K (File No. 001-36126) of LGI</w:t>
              </w:r>
            </w:hyperlink>
            <w:hyperlink r:id="rId16">
              <w:r>
                <w:rPr>
                  <w:rStyle w:val="InternetLink"/>
                  <w:rFonts w:ascii="Times New Roman;serif" w:hAnsi="Times New Roman;serif"/>
                  <w:b w:val="false"/>
                  <w:color w:val="000080"/>
                  <w:sz w:val="20"/>
                  <w:u w:val="single"/>
                </w:rPr>
                <w:t xml:space="preserve"> </w:t>
              </w:r>
            </w:hyperlink>
            <w:hyperlink r:id="rId17">
              <w:r>
                <w:rPr>
                  <w:rStyle w:val="InternetLink"/>
                  <w:rFonts w:ascii="Times New Roman;serif" w:hAnsi="Times New Roman;serif"/>
                  <w:b w:val="false"/>
                  <w:color w:val="000080"/>
                  <w:sz w:val="20"/>
                  <w:u w:val="single"/>
                </w:rPr>
                <w:t>Homes, Inc. filed with the SEC on October 14, 2026).</w:t>
              </w:r>
            </w:hyperlink>
          </w:p>
        </w:tc>
      </w:tr>
      <w:t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both"/>
            </w:pPr>
            <w:hyperlink w:anchor="a09302026ex311.htm">
              <w:r>
                <w:rPr>
                  <w:rStyle w:val="InternetLink"/>
                  <w:rFonts w:ascii="Times New Roman;serif" w:hAnsi="Times New Roman;serif"/>
                  <w:b w:val="false"/>
                  <w:color w:val="0000FF"/>
                  <w:sz w:val="20"/>
                  <w:u w:val="single"/>
                </w:rPr>
                <w:t>CEO Certification, Pursuant to Section 302 of the Sarbanes-Oxley Act of 2002.</w:t>
              </w:r>
            </w:hyperlink>
          </w:p>
        </w:tc>
      </w:tr>
      <w:t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both"/>
            </w:pPr>
            <w:hyperlink w:anchor="a09302026ex312.htm">
              <w:r>
                <w:rPr>
                  <w:rStyle w:val="InternetLink"/>
                  <w:rFonts w:ascii="Times New Roman;serif" w:hAnsi="Times New Roman;serif"/>
                  <w:b w:val="false"/>
                  <w:color w:val="0000FF"/>
                  <w:sz w:val="20"/>
                  <w:u w:val="single"/>
                </w:rPr>
                <w:t>CFO Certification, Pursuant to Section 302 of the Sarbanes-Oxley Act of 2002.</w:t>
              </w:r>
            </w:hyperlink>
          </w:p>
        </w:tc>
      </w:tr>
      <w:t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both"/>
            </w:pPr>
            <w:hyperlink w:anchor="a09302026ex321.htm">
              <w:r>
                <w:rPr>
                  <w:rStyle w:val="InternetLink"/>
                  <w:rFonts w:ascii="Times New Roman;serif" w:hAnsi="Times New Roman;serif"/>
                  <w:b w:val="false"/>
                  <w:color w:val="0000FF"/>
                  <w:sz w:val="20"/>
                  <w:u w:val="single"/>
                </w:rPr>
                <w:t>Certification Pursuant to 18 U.S.C. Section 1350, as adopted Pursuant to Section 906 of the Sarbanes-Oxley Act of 2002.</w:t>
              </w:r>
            </w:hyperlink>
          </w:p>
        </w:tc>
      </w:tr>
      <w:t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both"/>
            </w:pPr>
            <w:hyperlink w:anchor="a09302026ex322.htm">
              <w:r>
                <w:rPr>
                  <w:rStyle w:val="InternetLink"/>
                  <w:rFonts w:ascii="Times New Roman;serif" w:hAnsi="Times New Roman;serif"/>
                  <w:b w:val="false"/>
                  <w:color w:val="0000FF"/>
                  <w:sz w:val="20"/>
                  <w:u w:val="single"/>
                </w:rPr>
                <w:t>Certification Pursuant to 18 U.S.C. Section 1350, as adopted Pursuant to Section 906 of the Sarbanes-Oxley Act of 2002.</w:t>
              </w:r>
            </w:hyperlink>
          </w:p>
        </w:tc>
      </w:tr>
      <w:t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tbl>
      <w:tblPr>
        <w:tblW w:w="9956" w:type="dxa"/>
        <w:jc w:val="left"/>
        <w:tblInd w:w="0" w:type="dxa"/>
        <w:tblLayout w:type="fixed"/>
        <w:tblCellMar>
          <w:top w:w="28" w:type="dxa"/>
          <w:left w:w="28" w:type="dxa"/>
          <w:bottom w:w="28" w:type="dxa"/>
          <w:right w:w="28" w:type="dxa"/>
        </w:tblCellMar>
      </w:tblPr>
      <w:tblGrid>
        <w:gridCol w:w="124"/>
        <w:gridCol w:w="109"/>
        <w:gridCol w:w="109"/>
        <w:gridCol w:w="2816"/>
        <w:gridCol w:w="2816"/>
        <w:gridCol w:w="3982"/>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3982"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Previously filed.</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schedules and similar attachments to this exhibit have been omitted pursuant to Item 601(a)(5) of Regulation</w:t>
              <w:br/>
              <w:t>S-K. The Company undertakes to furnish supplementally a copy of any omitted schedule to the SEC upon request.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information is deemed not filed or a part of a registration statement or Annual Report for purposes of Sections 11 and 12 of the Securities Act of 1933, as amended, is deemed not filed for purposes of Section 18 of the Securities Exchange Act of 1934, as amended, and otherwise is not subject to liability under such sections.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pPr>
      <w:hyperlink w:anchor="ie0c00a7a1b3747cca0be3263a7bf0011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508"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274"/>
        <w:gridCol w:w="1274"/>
        <w:gridCol w:w="1801"/>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LGI Homes, Inc.</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3, 2026</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Eric Lipar</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Lipar</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and Chairman of the Board </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3, 2026</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Charles Merdian</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Merdian</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and Treasurer </w:t>
            </w:r>
          </w:p>
        </w:tc>
      </w:tr>
    </w:tbl>
    <w:p>
      <w:pPr>
        <w:pStyle w:val="TextBody"/>
        <w:bidi w:val="0"/>
        <w:spacing w:before="0" w:after="0"/>
        <w:jc w:val="left"/>
      </w:pPr>
      <w:r/>
    </w:p>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CEO CERTIFICATION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302 OF THE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SARBANES - 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Eric Lipar, certify that: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LGI Homes, Inc. (the “Registrant”);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404" w:type="dxa"/>
        <w:jc w:val="left"/>
        <w:tblInd w:w="0" w:type="dxa"/>
        <w:tblLayout w:type="fixed"/>
        <w:tblCellMar>
          <w:top w:w="28" w:type="dxa"/>
          <w:left w:w="28" w:type="dxa"/>
          <w:bottom w:w="28" w:type="dxa"/>
          <w:right w:w="28" w:type="dxa"/>
        </w:tblCellMar>
      </w:tblPr>
      <w:tblGrid>
        <w:gridCol w:w="759"/>
        <w:gridCol w:w="668"/>
        <w:gridCol w:w="672"/>
        <w:gridCol w:w="1257"/>
        <w:gridCol w:w="1257"/>
        <w:gridCol w:w="1791"/>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3, 2026</w:t>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/s/ Eric Lipar </w:t>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Lipar</w:t>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 of the Board</w:t>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LGI Homes, Inc.</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CFO CERTIFICATION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302 OF THE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SARBANES - 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Charles Merdian, certify that: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LGI Homes, Inc. (the “Registrant”);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249" w:type="dxa"/>
        <w:jc w:val="left"/>
        <w:tblInd w:w="0" w:type="dxa"/>
        <w:tblLayout w:type="fixed"/>
        <w:tblCellMar>
          <w:top w:w="28" w:type="dxa"/>
          <w:left w:w="28" w:type="dxa"/>
          <w:bottom w:w="28" w:type="dxa"/>
          <w:right w:w="28" w:type="dxa"/>
        </w:tblCellMar>
      </w:tblPr>
      <w:tblGrid>
        <w:gridCol w:w="759"/>
        <w:gridCol w:w="668"/>
        <w:gridCol w:w="672"/>
        <w:gridCol w:w="921"/>
        <w:gridCol w:w="921"/>
        <w:gridCol w:w="1308"/>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3, 2026</w:t>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/s/ Charles Merdian </w:t>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Merdian</w:t>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LGI Homes, Inc.</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LGI Homes, Inc. (the “Company”) on Form 10-Q for the quarterly period ended September 30, 2026 as filed with the Securities and Exchange Commission on the date hereof (the “Report”), I, Eric Lipar, Chief Executive Officer of the Company, certify, pursuant to 18 U.S.C. Section 1350, as adopted pursuant to Section 906 of the Sarbanes-Oxley Act of 2002, that to the best of my knowledge: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(15 U.S.C. 78m or 78o(d));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925" w:type="dxa"/>
        <w:jc w:val="left"/>
        <w:tblInd w:w="0" w:type="dxa"/>
        <w:tblLayout w:type="fixed"/>
        <w:tblCellMar>
          <w:top w:w="28" w:type="dxa"/>
          <w:left w:w="28" w:type="dxa"/>
          <w:bottom w:w="28" w:type="dxa"/>
          <w:right w:w="28" w:type="dxa"/>
        </w:tblCellMar>
      </w:tblPr>
      <w:tblGrid>
        <w:gridCol w:w="587"/>
        <w:gridCol w:w="516"/>
        <w:gridCol w:w="517"/>
        <w:gridCol w:w="1257"/>
        <w:gridCol w:w="1257"/>
        <w:gridCol w:w="1791"/>
      </w:tblGrid>
      <w:t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3, 2026</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/s/ Eric Lipar </w:t>
            </w:r>
          </w:p>
        </w:tc>
      </w:tr>
      <w:t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Lipar</w:t>
            </w:r>
          </w:p>
        </w:tc>
      </w:tr>
      <w:t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 of the Board</w:t>
            </w:r>
          </w:p>
        </w:tc>
      </w:tr>
      <w:t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LGI Homes, Inc.</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LGI Homes, Inc. (the “Company”) on Form 10-Q for the quarterly period ended September 30, 2026 as filed with the Securities and Exchange Commission on the date hereof (the “Report”), I, Charles Merdian, Chief Financial Officer of the Company, certify, pursuant to 18 U.S.C. Section 1350, as adopted pursuant to Section 906 of the Sarbanes-Oxley Act of 2002, that to the best of my knowledge: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(15 U.S.C. 78m or 78o(d));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770" w:type="dxa"/>
        <w:jc w:val="left"/>
        <w:tblInd w:w="0" w:type="dxa"/>
        <w:tblLayout w:type="fixed"/>
        <w:tblCellMar>
          <w:top w:w="28" w:type="dxa"/>
          <w:left w:w="28" w:type="dxa"/>
          <w:bottom w:w="28" w:type="dxa"/>
          <w:right w:w="28" w:type="dxa"/>
        </w:tblCellMar>
      </w:tblPr>
      <w:tblGrid>
        <w:gridCol w:w="587"/>
        <w:gridCol w:w="516"/>
        <w:gridCol w:w="517"/>
        <w:gridCol w:w="921"/>
        <w:gridCol w:w="921"/>
        <w:gridCol w:w="1308"/>
      </w:tblGrid>
      <w:t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3, 2026</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/s/ Charles Merdian </w:t>
            </w:r>
          </w:p>
        </w:tc>
      </w:tr>
      <w:t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Merdian</w:t>
            </w:r>
          </w:p>
        </w:tc>
      </w:tr>
      <w:t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LGI Homes, Inc.</w:t>
            </w:r>
          </w:p>
        </w:tc>
      </w:tr>
    </w:tbl>
    <w:p>
      <w:pPr>
        <w:pStyle w:val="TextBody"/>
        <w:bidi w:val="0"/>
        <w:spacing w:before="0" w:after="283"/>
        <w:jc w:val="left"/>
      </w:pPr>
      <w:r/>
    </w:p>
    <w:p>
      <w:pPr>
        <w:pStyle w:val="TextBody"/>
        <w:bidi w:val="0"/>
        <w:spacing w:before="0" w:after="283"/>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580670/000158067026000019/lgih-20251231.htm" TargetMode="External"/><Relationship Id="rId3" Type="http://schemas.openxmlformats.org/officeDocument/2006/relationships/hyperlink" Target="https://www.sec.gov/ix?doc=/Archives/edgar/data/0001580670/000158067026000019/lgih-20251231.htm" TargetMode="External"/><Relationship Id="rId4" Type="http://schemas.openxmlformats.org/officeDocument/2006/relationships/hyperlink" Target="https://www.sec.gov/Archives/edgar/data/1580670/000119312513348860/d560611dex31.htm" TargetMode="External"/><Relationship Id="rId5" Type="http://schemas.openxmlformats.org/officeDocument/2006/relationships/hyperlink" Target="https://www.sec.gov/Archives/edgar/data/1580670/000158067023000068/exhibit31-certificateofame.htm" TargetMode="External"/><Relationship Id="rId6" Type="http://schemas.openxmlformats.org/officeDocument/2006/relationships/hyperlink" Target="https://www.sec.gov/Archives/edgar/data/1580670/000119312513348860/d560611dex32.htm" TargetMode="External"/><Relationship Id="rId7" Type="http://schemas.openxmlformats.org/officeDocument/2006/relationships/hyperlink" Target="https://www.sec.gov/Archives/edgar/data/1580670/000158067026000080/ex101-seventhamendmentan.htm" TargetMode="External"/><Relationship Id="rId8" Type="http://schemas.openxmlformats.org/officeDocument/2006/relationships/hyperlink" Target="https://www.sec.gov/Archives/edgar/data/1580670/000158067026000080/ex101-seventhamendmentan.htm" TargetMode="External"/><Relationship Id="rId9" Type="http://schemas.openxmlformats.org/officeDocument/2006/relationships/hyperlink" Target="https://www.sec.gov/Archives/edgar/data/1580670/000158067026000080/ex101-seventhamendmentan.htm" TargetMode="External"/><Relationship Id="rId10" Type="http://schemas.openxmlformats.org/officeDocument/2006/relationships/hyperlink" Target="https://www.sec.gov/Archives/edgar/data/1580670/000158067026000080/ex101-seventhamendmentan.htm" TargetMode="External"/><Relationship Id="rId11" Type="http://schemas.openxmlformats.org/officeDocument/2006/relationships/hyperlink" Target="https://www.sec.gov/Archives/edgar/data/1580670/000158067026000080/ex101-seventhamendmentan.htm" TargetMode="External"/><Relationship Id="rId12" Type="http://schemas.openxmlformats.org/officeDocument/2006/relationships/hyperlink" Target="https://www.sec.gov/Archives/edgar/data/1580670/000158067026000080/ex101-seventhamendmentan.htm" TargetMode="External"/><Relationship Id="rId13" Type="http://schemas.openxmlformats.org/officeDocument/2006/relationships/hyperlink" Target="https://www.sec.gov/Archives/edgar/data/1580670/000158067026000080/ex101-seventhamendmentan.htm" TargetMode="External"/><Relationship Id="rId14" Type="http://schemas.openxmlformats.org/officeDocument/2006/relationships/hyperlink" Target="https://www.sec.gov/Archives/edgar/data/1580670/000158067026000080/ex101-seventhamendmentan.htm" TargetMode="External"/><Relationship Id="rId15" Type="http://schemas.openxmlformats.org/officeDocument/2006/relationships/hyperlink" Target="https://www.sec.gov/Archives/edgar/data/1580670/000158067026000080/ex101-seventhamendmentan.htm" TargetMode="External"/><Relationship Id="rId16" Type="http://schemas.openxmlformats.org/officeDocument/2006/relationships/hyperlink" Target="https://www.sec.gov/Archives/edgar/data/1580670/000158067026000080/ex101-seventhamendmentan.htm" TargetMode="External"/><Relationship Id="rId17" Type="http://schemas.openxmlformats.org/officeDocument/2006/relationships/hyperlink" Target="https://www.sec.gov/Archives/edgar/data/1580670/000158067026000080/ex101-seventhamendmentan.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26121</Words>
  <Characters>142366</Characters>
  <CharactersWithSpaces>167247</CharactersWithSpaces>
  <Paragraphs>2737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